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720FC">
      <w:pPr>
        <w:widowControl/>
        <w:snapToGrid w:val="0"/>
        <w:spacing w:line="460" w:lineRule="exact"/>
        <w:jc w:val="left"/>
        <w:outlineLvl w:val="0"/>
        <w:rPr>
          <w:rFonts w:ascii="宋体" w:hAnsi="宋体" w:eastAsia="宋体" w:cs="Times New Roman"/>
          <w:bCs/>
          <w:iCs/>
          <w:kern w:val="0"/>
          <w:sz w:val="24"/>
          <w:szCs w:val="24"/>
        </w:rPr>
      </w:pPr>
      <w:r>
        <w:rPr>
          <w:rFonts w:hint="eastAsia" w:ascii="宋体" w:hAnsi="宋体" w:eastAsia="宋体" w:cs="Times New Roman"/>
          <w:bCs/>
          <w:iCs/>
          <w:kern w:val="0"/>
          <w:sz w:val="24"/>
          <w:szCs w:val="24"/>
        </w:rPr>
        <w:t>附件1</w:t>
      </w:r>
    </w:p>
    <w:p w14:paraId="30507CA2">
      <w:pPr>
        <w:snapToGrid w:val="0"/>
        <w:spacing w:line="520" w:lineRule="exact"/>
        <w:ind w:firstLine="562"/>
        <w:jc w:val="center"/>
        <w:outlineLvl w:val="0"/>
        <w:rPr>
          <w:rFonts w:cs="Times New Roman" w:asciiTheme="minorEastAsia" w:hAnsiTheme="minorEastAsia"/>
          <w:b/>
          <w:bCs/>
          <w:iCs/>
          <w:sz w:val="32"/>
          <w:szCs w:val="32"/>
        </w:rPr>
      </w:pPr>
      <w:bookmarkStart w:id="0" w:name="_GoBack"/>
      <w:r>
        <w:rPr>
          <w:rFonts w:hint="eastAsia" w:cs="Times New Roman" w:asciiTheme="minorEastAsia" w:hAnsiTheme="minorEastAsia"/>
          <w:b/>
          <w:bCs/>
          <w:iCs/>
          <w:color w:val="000000"/>
          <w:sz w:val="32"/>
          <w:szCs w:val="32"/>
        </w:rPr>
        <w:t>中国高校产学研创新基金―科大讯飞高校</w:t>
      </w:r>
      <w:r>
        <w:rPr>
          <w:rFonts w:hint="eastAsia" w:cs="Times New Roman" w:asciiTheme="minorEastAsia" w:hAnsiTheme="minorEastAsia"/>
          <w:b/>
          <w:bCs/>
          <w:iCs/>
          <w:sz w:val="32"/>
          <w:szCs w:val="32"/>
        </w:rPr>
        <w:t>创新研究</w:t>
      </w:r>
    </w:p>
    <w:p w14:paraId="4A692CCA">
      <w:pPr>
        <w:snapToGrid w:val="0"/>
        <w:spacing w:line="520" w:lineRule="exact"/>
        <w:ind w:firstLine="562"/>
        <w:jc w:val="center"/>
        <w:outlineLvl w:val="0"/>
        <w:rPr>
          <w:rFonts w:asciiTheme="minorEastAsia" w:hAnsiTheme="minorEastAsia"/>
          <w:b/>
          <w:sz w:val="32"/>
          <w:szCs w:val="32"/>
        </w:rPr>
      </w:pPr>
      <w:r>
        <w:rPr>
          <w:rFonts w:hint="eastAsia" w:cs="Times New Roman" w:asciiTheme="minorEastAsia" w:hAnsiTheme="minorEastAsia"/>
          <w:b/>
          <w:bCs/>
          <w:iCs/>
          <w:sz w:val="32"/>
          <w:szCs w:val="32"/>
        </w:rPr>
        <w:t>专项（三期）</w:t>
      </w:r>
      <w:r>
        <w:rPr>
          <w:rFonts w:hint="eastAsia" w:asciiTheme="minorEastAsia" w:hAnsiTheme="minorEastAsia"/>
          <w:b/>
          <w:sz w:val="32"/>
          <w:szCs w:val="32"/>
        </w:rPr>
        <w:t>申请指南说明</w:t>
      </w:r>
    </w:p>
    <w:bookmarkEnd w:id="0"/>
    <w:p w14:paraId="7A647373">
      <w:pPr>
        <w:snapToGrid w:val="0"/>
        <w:spacing w:line="48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sz w:val="24"/>
        </w:rPr>
        <w:t>根据 《关于申报2025年中国高校产学研创新基金的通知》 （教科</w:t>
      </w:r>
      <w:r>
        <w:rPr>
          <w:rFonts w:hint="eastAsia" w:ascii="宋体" w:hAnsi="宋体" w:eastAsia="宋体"/>
          <w:color w:val="000000" w:themeColor="text1"/>
          <w:sz w:val="24"/>
          <w14:textFill>
            <w14:solidFill>
              <w14:schemeClr w14:val="tx1"/>
            </w14:solidFill>
          </w14:textFill>
        </w:rPr>
        <w:t>发中心函〔2025〕</w:t>
      </w:r>
      <w:r>
        <w:rPr>
          <w:rFonts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号)的相关要求</w:t>
      </w:r>
      <w:r>
        <w:rPr>
          <w:rFonts w:hint="eastAsia" w:ascii="宋体" w:hAnsi="宋体" w:eastAsia="宋体"/>
          <w:color w:val="000000" w:themeColor="text1"/>
          <w:sz w:val="24"/>
          <w:szCs w:val="28"/>
          <w14:textFill>
            <w14:solidFill>
              <w14:schemeClr w14:val="tx1"/>
            </w14:solidFill>
          </w14:textFill>
        </w:rPr>
        <w:t>，教育部高等学校科学研究发展中心与科大讯飞股份有限公司联合设立“中国高校产学研创新基金-科大讯飞高校创新研究专项（三期）”，推动人工智能技术在教育领域深度赋能应用。</w:t>
      </w:r>
    </w:p>
    <w:p w14:paraId="0BEF7254">
      <w:pPr>
        <w:snapToGrid w:val="0"/>
        <w:spacing w:before="312" w:beforeLines="100" w:line="480" w:lineRule="exact"/>
        <w:ind w:firstLine="562" w:firstLineChars="200"/>
        <w:rPr>
          <w:rFonts w:ascii="宋体" w:hAnsi="宋体" w:eastAsia="宋体"/>
          <w:color w:val="000000" w:themeColor="text1"/>
          <w14:textFill>
            <w14:solidFill>
              <w14:schemeClr w14:val="tx1"/>
            </w14:solidFill>
          </w14:textFill>
        </w:rPr>
      </w:pPr>
      <w:r>
        <w:rPr>
          <w:rFonts w:hint="eastAsia" w:ascii="宋体" w:hAnsi="宋体" w:eastAsia="宋体" w:cs="微软雅黑"/>
          <w:b/>
          <w:bCs/>
          <w:sz w:val="28"/>
          <w:szCs w:val="32"/>
        </w:rPr>
        <w:t>一、课题说明</w:t>
      </w:r>
    </w:p>
    <w:p w14:paraId="1AC1AFC0">
      <w:pPr>
        <w:snapToGrid w:val="0"/>
        <w:spacing w:line="48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1.“科大讯飞高校创新研究专项（三期）”旨在促进高校充分利用人工智能技术，赋能人才培养、教学改革、师生服务、科研创新等方面，促进高等教育变革，提升人才培养质量。</w:t>
      </w:r>
    </w:p>
    <w:p w14:paraId="44B0C9A5">
      <w:pPr>
        <w:snapToGrid w:val="0"/>
        <w:spacing w:line="48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2.“科大讯飞高校创新研究专项（三期）”的</w:t>
      </w:r>
      <w:r>
        <w:rPr>
          <w:rFonts w:hint="eastAsia" w:ascii="宋体" w:hAnsi="宋体" w:eastAsia="宋体"/>
          <w:color w:val="000000" w:themeColor="text1"/>
          <w:kern w:val="24"/>
          <w:sz w:val="24"/>
          <w14:textFill>
            <w14:solidFill>
              <w14:schemeClr w14:val="tx1"/>
            </w14:solidFill>
          </w14:textFill>
        </w:rPr>
        <w:t>申请截止时间为</w:t>
      </w:r>
      <w:r>
        <w:rPr>
          <w:rFonts w:hint="eastAsia" w:ascii="宋体" w:hAnsi="宋体" w:eastAsia="宋体"/>
          <w:kern w:val="24"/>
          <w:sz w:val="24"/>
        </w:rPr>
        <w:t>2025年12月15日</w:t>
      </w:r>
      <w:r>
        <w:rPr>
          <w:rFonts w:hint="eastAsia" w:ascii="宋体" w:hAnsi="宋体" w:eastAsia="宋体"/>
          <w:color w:val="000000" w:themeColor="text1"/>
          <w:kern w:val="24"/>
          <w:sz w:val="24"/>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计划执行时间为</w:t>
      </w:r>
      <w:r>
        <w:rPr>
          <w:rFonts w:hint="eastAsia" w:ascii="宋体" w:hAnsi="宋体" w:eastAsia="宋体"/>
          <w:sz w:val="24"/>
          <w:szCs w:val="28"/>
        </w:rPr>
        <w:t>2026年4月1日～2027年3月31日</w:t>
      </w:r>
      <w:r>
        <w:rPr>
          <w:rFonts w:hint="eastAsia" w:ascii="宋体" w:hAnsi="宋体" w:eastAsia="宋体"/>
          <w:color w:val="000000" w:themeColor="text1"/>
          <w:sz w:val="24"/>
          <w:szCs w:val="28"/>
          <w14:textFill>
            <w14:solidFill>
              <w14:schemeClr w14:val="tx1"/>
            </w14:solidFill>
          </w14:textFill>
        </w:rPr>
        <w:t>，可根据课题复杂程度适度延长执行周期，最长不超过两年。</w:t>
      </w:r>
    </w:p>
    <w:p w14:paraId="7BC1C672">
      <w:pPr>
        <w:snapToGrid w:val="0"/>
        <w:spacing w:line="480" w:lineRule="exact"/>
        <w:ind w:firstLine="480" w:firstLineChars="200"/>
        <w:rPr>
          <w:rFonts w:ascii="宋体" w:hAnsi="宋体" w:eastAsia="宋体"/>
          <w:sz w:val="24"/>
          <w:szCs w:val="28"/>
        </w:rPr>
      </w:pPr>
      <w:r>
        <w:rPr>
          <w:rFonts w:hint="eastAsia" w:ascii="宋体" w:hAnsi="宋体" w:eastAsia="宋体"/>
          <w:color w:val="000000" w:themeColor="text1"/>
          <w:sz w:val="24"/>
          <w:szCs w:val="28"/>
          <w14:textFill>
            <w14:solidFill>
              <w14:schemeClr w14:val="tx1"/>
            </w14:solidFill>
          </w14:textFill>
        </w:rPr>
        <w:t>3.“科大讯飞高校创新研究专项（三期）”</w:t>
      </w:r>
      <w:r>
        <w:rPr>
          <w:rFonts w:hint="eastAsia" w:ascii="宋体" w:hAnsi="宋体" w:eastAsia="宋体"/>
          <w:sz w:val="24"/>
          <w:szCs w:val="28"/>
        </w:rPr>
        <w:t>为每个立项课题提供总经费</w:t>
      </w:r>
      <w:r>
        <w:rPr>
          <w:rFonts w:ascii="宋体" w:hAnsi="宋体" w:eastAsia="宋体"/>
          <w:sz w:val="24"/>
          <w:szCs w:val="28"/>
        </w:rPr>
        <w:t>1</w:t>
      </w:r>
      <w:r>
        <w:rPr>
          <w:rFonts w:hint="eastAsia" w:ascii="宋体" w:hAnsi="宋体" w:eastAsia="宋体"/>
          <w:sz w:val="24"/>
          <w:szCs w:val="28"/>
        </w:rPr>
        <w:t>0万元至50万元的课题研究经费及科研软硬件平台支持，</w:t>
      </w:r>
      <w:r>
        <w:rPr>
          <w:rFonts w:hint="eastAsia" w:ascii="宋体" w:hAnsi="宋体" w:eastAsia="宋体"/>
          <w:color w:val="000000" w:themeColor="text1"/>
          <w:sz w:val="24"/>
          <w14:textFill>
            <w14:solidFill>
              <w14:schemeClr w14:val="tx1"/>
            </w14:solidFill>
          </w14:textFill>
        </w:rPr>
        <w:t>其中课题研究经费5万元至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r>
        <w:rPr>
          <w:rFonts w:hint="eastAsia" w:ascii="宋体" w:hAnsi="宋体" w:eastAsia="宋体"/>
          <w:color w:val="000000" w:themeColor="text1"/>
          <w:sz w:val="24"/>
          <w:szCs w:val="28"/>
          <w14:textFill>
            <w14:solidFill>
              <w14:schemeClr w14:val="tx1"/>
            </w14:solidFill>
          </w14:textFill>
        </w:rPr>
        <w:t>。</w:t>
      </w:r>
    </w:p>
    <w:p w14:paraId="5D838233">
      <w:pPr>
        <w:snapToGrid w:val="0"/>
        <w:spacing w:line="480" w:lineRule="exact"/>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color w:val="000000" w:themeColor="text1"/>
          <w:sz w:val="24"/>
          <w:szCs w:val="28"/>
          <w14:textFill>
            <w14:solidFill>
              <w14:schemeClr w14:val="tx1"/>
            </w14:solidFill>
          </w14:textFill>
        </w:rPr>
        <w:t>“科大讯飞高校创新研究专项（三期）”</w:t>
      </w:r>
      <w:r>
        <w:rPr>
          <w:rFonts w:hint="eastAsia" w:ascii="宋体" w:hAnsi="宋体" w:eastAsia="宋体"/>
          <w:sz w:val="24"/>
          <w:szCs w:val="28"/>
        </w:rPr>
        <w:t>基金课题的选题方向见表一。申请人选择课题方向进行申报，要求基于基金课题提供的技术及应用等进行研究（相关技术、应用和软硬件平台介绍见表二和表三）。</w:t>
      </w:r>
    </w:p>
    <w:p w14:paraId="08065262">
      <w:pPr>
        <w:spacing w:after="93" w:afterLines="30" w:line="500" w:lineRule="exact"/>
        <w:ind w:firstLine="482"/>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表一 “科大讯飞高校创新研究专项”选题列表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78"/>
        <w:gridCol w:w="6001"/>
      </w:tblGrid>
      <w:tr w14:paraId="0028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14:paraId="0B41433C">
            <w:pPr>
              <w:adjustRightInd w:val="0"/>
              <w:snapToGrid w:val="0"/>
              <w:spacing w:line="32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课题方向编号</w:t>
            </w:r>
          </w:p>
        </w:tc>
        <w:tc>
          <w:tcPr>
            <w:tcW w:w="2078" w:type="dxa"/>
            <w:shd w:val="clear" w:color="000000" w:fill="D0CECE"/>
            <w:vAlign w:val="center"/>
          </w:tcPr>
          <w:p w14:paraId="7123A5D1">
            <w:pPr>
              <w:adjustRightInd w:val="0"/>
              <w:snapToGrid w:val="0"/>
              <w:spacing w:line="32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w:t>
            </w:r>
          </w:p>
        </w:tc>
        <w:tc>
          <w:tcPr>
            <w:tcW w:w="6001" w:type="dxa"/>
            <w:shd w:val="clear" w:color="000000" w:fill="D0CECE"/>
            <w:vAlign w:val="center"/>
          </w:tcPr>
          <w:p w14:paraId="7DCF3FEE">
            <w:pPr>
              <w:adjustRightInd w:val="0"/>
              <w:snapToGrid w:val="0"/>
              <w:spacing w:line="32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课题介绍</w:t>
            </w:r>
          </w:p>
        </w:tc>
      </w:tr>
      <w:tr w14:paraId="4A3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0E80F785">
            <w:pPr>
              <w:adjustRightInd w:val="0"/>
              <w:snapToGrid w:val="0"/>
              <w:spacing w:before="156" w:beforeLines="50" w:after="156" w:afterLines="50" w:line="32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A01</w:t>
            </w:r>
          </w:p>
        </w:tc>
        <w:tc>
          <w:tcPr>
            <w:tcW w:w="2078" w:type="dxa"/>
            <w:shd w:val="clear" w:color="auto" w:fill="auto"/>
            <w:vAlign w:val="center"/>
          </w:tcPr>
          <w:p w14:paraId="28B82560">
            <w:pPr>
              <w:adjustRightInd w:val="0"/>
              <w:snapToGrid w:val="0"/>
              <w:spacing w:before="93" w:beforeLines="30" w:after="93" w:afterLines="30"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学科大模型（智思体）构建与应用</w:t>
            </w:r>
          </w:p>
        </w:tc>
        <w:tc>
          <w:tcPr>
            <w:tcW w:w="6001" w:type="dxa"/>
            <w:shd w:val="clear" w:color="auto" w:fill="auto"/>
            <w:vAlign w:val="center"/>
          </w:tcPr>
          <w:p w14:paraId="20BE83BA">
            <w:pPr>
              <w:widowControl/>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推动生成式人工智能技术在教育领域深度赋能应用，参研团队基于讯飞星火大模型，研发针对某一高等教育学科领域的专用大模型。围绕助教、助学、助管、助研、助国际合作等场景，进行相应专业领域垂类模型的高质量语料库建设、模型训练，以及深度融合教育教学场景开展应用。</w:t>
            </w:r>
          </w:p>
          <w:p w14:paraId="5AAF6B4D">
            <w:pPr>
              <w:widowControl/>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思体建设要求参考指标包括但不限于：应具备良好的场景泛化性、学科专业性和内容安全性，及指令提示学习、参数微调学习、人类反馈学习等参数更新功能和接口；应建立高质量、多模态语料库；能面向学科特色，打造场景化智能体工具，聚焦解决阻碍师生能力培养的重点、难点问题；能够结合本学科领域和相关交叉学科领域的实际情况和发展前景，赋能智慧课程开发、学科图谱构建等；能够为本学科领域在教育模式、教学方法和学习体验等方面的革新起到推动作用。</w:t>
            </w:r>
          </w:p>
        </w:tc>
      </w:tr>
      <w:tr w14:paraId="175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345B6D9E">
            <w:pPr>
              <w:adjustRightInd w:val="0"/>
              <w:snapToGrid w:val="0"/>
              <w:spacing w:before="156" w:beforeLines="50" w:after="156" w:afterLines="50" w:line="320" w:lineRule="exact"/>
              <w:jc w:val="center"/>
              <w:rPr>
                <w:rFonts w:ascii="宋体" w:hAnsi="宋体" w:eastAsia="宋体"/>
                <w:iCs/>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A02</w:t>
            </w:r>
          </w:p>
        </w:tc>
        <w:tc>
          <w:tcPr>
            <w:tcW w:w="2078" w:type="dxa"/>
            <w:shd w:val="clear" w:color="auto" w:fill="auto"/>
            <w:vAlign w:val="center"/>
          </w:tcPr>
          <w:p w14:paraId="4D21E934">
            <w:pPr>
              <w:adjustRightInd w:val="0"/>
              <w:snapToGrid w:val="0"/>
              <w:spacing w:before="93" w:beforeLines="30" w:after="93" w:afterLines="30"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智慧课程建设与教学创新应用</w:t>
            </w:r>
          </w:p>
        </w:tc>
        <w:tc>
          <w:tcPr>
            <w:tcW w:w="6001" w:type="dxa"/>
            <w:shd w:val="clear" w:color="auto" w:fill="auto"/>
            <w:vAlign w:val="center"/>
          </w:tcPr>
          <w:p w14:paraId="5298E4AF">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推进教学方法改革，探索新的课程建设路径和人才培养新模式，参研团队基于科大讯飞提供的大模型、知识图谱、虚拟人、自适应学习系统等技术和工具，开展智慧课程建设并研究教学创新应用。研究内容可以包括但不限于：构建课程知识图谱、能力图谱、问题图谱，绘制素质图谱，制作虚拟人AI课件视频，完成配套教学资源和RAG知识库建设，实现课程知识图谱与学习资源、练习题目和测验等学习活动的关联；探索基于大模型、智能助教和智能学伴的互动式教学设计；对基于知识图谱的自适应学习开展教学实证研究，构建个性化学、差异化教新模式；探索跨课程知识图谱建设，利用关系、重组实体、复用细颗粒度教学资源，助力跨学科人才培养模式创新和微专业、交叉专业建设。</w:t>
            </w:r>
          </w:p>
        </w:tc>
      </w:tr>
      <w:tr w14:paraId="2DE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2D0EF179">
            <w:pPr>
              <w:adjustRightInd w:val="0"/>
              <w:snapToGrid w:val="0"/>
              <w:spacing w:before="156" w:beforeLines="50" w:after="156" w:afterLines="50" w:line="32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A03</w:t>
            </w:r>
          </w:p>
        </w:tc>
        <w:tc>
          <w:tcPr>
            <w:tcW w:w="2078" w:type="dxa"/>
            <w:shd w:val="clear" w:color="auto" w:fill="auto"/>
            <w:vAlign w:val="center"/>
          </w:tcPr>
          <w:p w14:paraId="7B05CC20">
            <w:pPr>
              <w:adjustRightInd w:val="0"/>
              <w:snapToGrid w:val="0"/>
              <w:spacing w:before="93" w:beforeLines="30" w:after="93" w:afterLines="30"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基于智能教学平台的全场景教育范式研究</w:t>
            </w:r>
          </w:p>
        </w:tc>
        <w:tc>
          <w:tcPr>
            <w:tcW w:w="6001" w:type="dxa"/>
            <w:shd w:val="clear" w:color="auto" w:fill="auto"/>
            <w:vAlign w:val="center"/>
          </w:tcPr>
          <w:p w14:paraId="01DF8F14">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推动高校人才培养、教学创新、评价改革、教学研究、教育管理等全方位变革，参研团队基于科大讯飞的智能教学平台，围绕“备、教、学、测、评、督、管”等场景开展应用研究。研究内容可以包括但不限于：基于平台开展多样化教学模式探索与实践，探究教学质量提升路径；结合平台所提供的核心场景数据，强化形成性评价和全过程评价，创新教学评价体系；基于采集的教与学数据，监测教与学状态，为教学与管理决策提供支持；挖掘AI工具在助教、助学、助评、助管等场景的创新应用。</w:t>
            </w:r>
          </w:p>
        </w:tc>
      </w:tr>
      <w:tr w14:paraId="62CB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8" w:type="dxa"/>
            <w:shd w:val="clear" w:color="auto" w:fill="auto"/>
            <w:vAlign w:val="center"/>
          </w:tcPr>
          <w:p w14:paraId="519746E2">
            <w:pPr>
              <w:adjustRightInd w:val="0"/>
              <w:snapToGrid w:val="0"/>
              <w:spacing w:before="156" w:beforeLines="50" w:after="156" w:afterLines="50" w:line="32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w:t>
            </w:r>
            <w:r>
              <w:rPr>
                <w:rFonts w:ascii="宋体" w:hAnsi="宋体" w:eastAsia="宋体"/>
                <w:color w:val="000000" w:themeColor="text1"/>
                <w:szCs w:val="21"/>
                <w14:textFill>
                  <w14:solidFill>
                    <w14:schemeClr w14:val="tx1"/>
                  </w14:solidFill>
                </w14:textFill>
              </w:rPr>
              <w:t>0</w:t>
            </w:r>
            <w:r>
              <w:rPr>
                <w:rFonts w:hint="eastAsia" w:ascii="宋体" w:hAnsi="宋体" w:eastAsia="宋体"/>
                <w:color w:val="000000" w:themeColor="text1"/>
                <w:szCs w:val="21"/>
                <w14:textFill>
                  <w14:solidFill>
                    <w14:schemeClr w14:val="tx1"/>
                  </w14:solidFill>
                </w14:textFill>
              </w:rPr>
              <w:t>4</w:t>
            </w:r>
          </w:p>
        </w:tc>
        <w:tc>
          <w:tcPr>
            <w:tcW w:w="2078" w:type="dxa"/>
            <w:shd w:val="clear" w:color="auto" w:fill="auto"/>
            <w:vAlign w:val="center"/>
          </w:tcPr>
          <w:p w14:paraId="22DBEBC4">
            <w:pPr>
              <w:adjustRightInd w:val="0"/>
              <w:snapToGrid w:val="0"/>
              <w:spacing w:before="93" w:beforeLines="30" w:after="93" w:afterLines="30"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以AI为核心的创新模式探索与典型案例研究</w:t>
            </w:r>
          </w:p>
        </w:tc>
        <w:tc>
          <w:tcPr>
            <w:tcW w:w="6001" w:type="dxa"/>
            <w:shd w:val="clear" w:color="auto" w:fill="auto"/>
            <w:vAlign w:val="center"/>
          </w:tcPr>
          <w:p w14:paraId="086FB6E2">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利用人工智能技术重构智慧教育生态，打造一批具有引领性、可复制、可推广的示范性成果与典型案例。研究内容可以包括但不限于：基于人工智能通识课程和配套实训平台，赋能相关专业人才培养；</w:t>
            </w:r>
            <w:r>
              <w:rPr>
                <w:rFonts w:hint="eastAsia" w:ascii="宋体" w:hAnsi="宋体" w:eastAsia="宋体"/>
                <w:sz w:val="20"/>
                <w:szCs w:val="20"/>
              </w:rPr>
              <w:t>基于智能评测技术，推动院校在口语教学、智慧考试、智能评阅方面进行应用创新；</w:t>
            </w:r>
            <w:r>
              <w:rPr>
                <w:rFonts w:hint="eastAsia" w:ascii="宋体" w:hAnsi="宋体" w:eastAsia="宋体"/>
                <w:color w:val="000000" w:themeColor="text1"/>
                <w:sz w:val="20"/>
                <w:szCs w:val="20"/>
                <w14:textFill>
                  <w14:solidFill>
                    <w14:schemeClr w14:val="tx1"/>
                  </w14:solidFill>
                </w14:textFill>
              </w:rPr>
              <w:t>利用大模型能力，实现校园服务、管理及决策等方面的降本增效；探究</w:t>
            </w:r>
            <w:r>
              <w:rPr>
                <w:rFonts w:ascii="宋体" w:hAnsi="宋体" w:eastAsia="宋体"/>
                <w:color w:val="000000" w:themeColor="text1"/>
                <w:sz w:val="20"/>
                <w:szCs w:val="20"/>
                <w14:textFill>
                  <w14:solidFill>
                    <w14:schemeClr w14:val="tx1"/>
                  </w14:solidFill>
                </w14:textFill>
              </w:rPr>
              <w:t>AI技术</w:t>
            </w:r>
            <w:r>
              <w:rPr>
                <w:rFonts w:hint="eastAsia" w:ascii="宋体" w:hAnsi="宋体" w:eastAsia="宋体"/>
                <w:color w:val="000000" w:themeColor="text1"/>
                <w:sz w:val="20"/>
                <w:szCs w:val="20"/>
                <w14:textFill>
                  <w14:solidFill>
                    <w14:schemeClr w14:val="tx1"/>
                  </w14:solidFill>
                </w14:textFill>
              </w:rPr>
              <w:t>赋能科学研究的新途径</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助力高水平科研；基于通用人工智能技术，研发产业新应用。</w:t>
            </w:r>
          </w:p>
          <w:p w14:paraId="4AC71E74">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参研团队可任选上述的一个或多个研究方向，开展创新应用研究，制定执行计划，产出相关成果。</w:t>
            </w:r>
          </w:p>
        </w:tc>
      </w:tr>
      <w:tr w14:paraId="4F28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8" w:type="dxa"/>
            <w:shd w:val="clear" w:color="auto" w:fill="auto"/>
            <w:vAlign w:val="center"/>
          </w:tcPr>
          <w:p w14:paraId="1EC03F6E">
            <w:pPr>
              <w:adjustRightInd w:val="0"/>
              <w:snapToGrid w:val="0"/>
              <w:spacing w:before="156" w:beforeLines="50" w:after="156" w:afterLines="50" w:line="32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A05</w:t>
            </w:r>
          </w:p>
        </w:tc>
        <w:tc>
          <w:tcPr>
            <w:tcW w:w="2078" w:type="dxa"/>
            <w:shd w:val="clear" w:color="auto" w:fill="auto"/>
            <w:vAlign w:val="center"/>
          </w:tcPr>
          <w:p w14:paraId="40D1B340">
            <w:pPr>
              <w:adjustRightInd w:val="0"/>
              <w:snapToGrid w:val="0"/>
              <w:spacing w:before="93" w:beforeLines="30" w:after="93" w:afterLines="30"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bCs/>
                <w:sz w:val="20"/>
                <w:szCs w:val="20"/>
              </w:rPr>
              <w:t>基于国产化大模型多智能体架构下的虚拟现实实训技术研究与应用</w:t>
            </w:r>
          </w:p>
        </w:tc>
        <w:tc>
          <w:tcPr>
            <w:tcW w:w="6001" w:type="dxa"/>
            <w:shd w:val="clear" w:color="auto" w:fill="auto"/>
            <w:vAlign w:val="center"/>
          </w:tcPr>
          <w:p w14:paraId="5C14243A">
            <w:pPr>
              <w:adjustRightInd w:val="0"/>
              <w:snapToGrid w:val="0"/>
              <w:spacing w:before="62" w:beforeLines="20" w:after="62" w:afterLines="20" w:line="300" w:lineRule="exact"/>
              <w:ind w:firstLine="400" w:firstLineChars="200"/>
              <w:rPr>
                <w:rFonts w:ascii="宋体" w:hAnsi="宋体" w:eastAsia="宋体" w:cs="宋体"/>
                <w:sz w:val="20"/>
                <w:szCs w:val="20"/>
              </w:rPr>
            </w:pPr>
            <w:r>
              <w:rPr>
                <w:rFonts w:hint="eastAsia" w:ascii="宋体" w:hAnsi="宋体" w:eastAsia="宋体"/>
                <w:color w:val="000000" w:themeColor="text1"/>
                <w:sz w:val="20"/>
                <w:szCs w:val="20"/>
                <w14:textFill>
                  <w14:solidFill>
                    <w14:schemeClr w14:val="tx1"/>
                  </w14:solidFill>
                </w14:textFill>
              </w:rPr>
              <w:t>利用人工智能核心技术</w:t>
            </w:r>
            <w:r>
              <w:rPr>
                <w:rFonts w:hint="eastAsia" w:ascii="宋体" w:hAnsi="宋体" w:eastAsia="宋体" w:cs="宋体"/>
                <w:sz w:val="20"/>
                <w:szCs w:val="20"/>
              </w:rPr>
              <w:t>，攻克智能体角色和任务的动态适配技术、多智能体自组织系统机制、深度强化学习的自适应学习技术、多维度评估与优化框架等关键技术，开发基于多智能体框架下多场景实训平台，包括国产化大模型智能体模块、VR/AR硬件适配模块、数字人交互模块、多模态交互模块。向下促进国产化大模型在各行业、多场景职业教育培训、企业岗前培训时的实训产品市场化；向上为大模型产业落地提供基础应用框架，同时支持多种SOP场景下的各类服务应用生态接入。围绕行业智能化、知识体系化、交互简单化的目标，构建基于大模型多智能体框架下的SOP应用标准体系。全面提升大模型在行业落地过程中的使用体验，建立基于国产化大模型多智能体应用平台构建的教育应用生态。推动项目研发成果在智慧模拟庭审、智慧英语培训、智能制造实训、智能汽车装配实训、公共医疗防疫实训、护理实训等虚拟现实或场景化教学的示范应用。</w:t>
            </w:r>
          </w:p>
          <w:p w14:paraId="6D12ED26">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参研团队可任选上述的一个或多个研究方向，开展创新应用研究，制定执行计划，产出相关成果。</w:t>
            </w:r>
          </w:p>
        </w:tc>
      </w:tr>
      <w:tr w14:paraId="1BB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8" w:type="dxa"/>
            <w:shd w:val="clear" w:color="auto" w:fill="auto"/>
            <w:vAlign w:val="center"/>
          </w:tcPr>
          <w:p w14:paraId="2FEB2DE0">
            <w:pPr>
              <w:adjustRightInd w:val="0"/>
              <w:snapToGrid w:val="0"/>
              <w:spacing w:before="156" w:beforeLines="50" w:after="156" w:afterLines="50" w:line="32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A06</w:t>
            </w:r>
          </w:p>
        </w:tc>
        <w:tc>
          <w:tcPr>
            <w:tcW w:w="2078" w:type="dxa"/>
            <w:shd w:val="clear" w:color="auto" w:fill="auto"/>
            <w:vAlign w:val="center"/>
          </w:tcPr>
          <w:p w14:paraId="6E40D68B">
            <w:pPr>
              <w:adjustRightInd w:val="0"/>
              <w:snapToGrid w:val="0"/>
              <w:spacing w:before="93" w:beforeLines="30" w:after="93" w:afterLines="30"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人工智能技术在基础教育阶段教育教学中的应用研究</w:t>
            </w:r>
          </w:p>
        </w:tc>
        <w:tc>
          <w:tcPr>
            <w:tcW w:w="6001" w:type="dxa"/>
            <w:shd w:val="clear" w:color="auto" w:fill="auto"/>
            <w:vAlign w:val="center"/>
          </w:tcPr>
          <w:p w14:paraId="180AE2B8">
            <w:pPr>
              <w:adjustRightInd w:val="0"/>
              <w:snapToGrid w:val="0"/>
              <w:spacing w:before="62" w:beforeLines="20" w:after="62" w:afterLines="20" w:line="300" w:lineRule="exact"/>
              <w:ind w:firstLine="400" w:firstLineChars="200"/>
              <w:rPr>
                <w:rFonts w:ascii="宋体" w:hAnsi="宋体" w:eastAsia="宋体"/>
                <w:sz w:val="20"/>
                <w:szCs w:val="20"/>
              </w:rPr>
            </w:pPr>
            <w:r>
              <w:rPr>
                <w:rFonts w:hint="eastAsia" w:ascii="宋体" w:hAnsi="宋体" w:eastAsia="宋体"/>
                <w:sz w:val="20"/>
                <w:szCs w:val="20"/>
              </w:rPr>
              <w:t>面向国家教育政策，结合实际案例，探索人工智能技术及大数据信息推动教育治理数字化、教学教研精准化、学生学习个性化、教育评价多元化发展。研究内容可以包括但不限于：</w:t>
            </w:r>
            <w:r>
              <w:rPr>
                <w:rFonts w:ascii="宋体" w:hAnsi="宋体" w:eastAsia="宋体"/>
                <w:sz w:val="20"/>
                <w:szCs w:val="20"/>
              </w:rPr>
              <w:t>应用人工智能、大数据等技术，</w:t>
            </w:r>
            <w:r>
              <w:rPr>
                <w:rFonts w:hint="eastAsia" w:ascii="宋体" w:hAnsi="宋体" w:eastAsia="宋体"/>
                <w:sz w:val="20"/>
                <w:szCs w:val="20"/>
              </w:rPr>
              <w:t>助力教育数字化转型；助力教师精准教学，提升精准教学水平；助力学生个性化学习，提升学生自主学习能力；依托数据及时分析，提升管理效率，助力学校管理者，科学决策与管理；帮助学生减轻学业负担、提高学习效率、提升学科能力、五育并举提高综合素养；助力减负增效及家校共育；</w:t>
            </w:r>
            <w:r>
              <w:rPr>
                <w:rFonts w:ascii="宋体" w:hAnsi="宋体" w:eastAsia="宋体"/>
                <w:sz w:val="20"/>
                <w:szCs w:val="20"/>
              </w:rPr>
              <w:t>助力教育评价的准确性、科学性和公正性。</w:t>
            </w:r>
          </w:p>
          <w:p w14:paraId="5F492139">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参研团队可结合科大讯飞产品、服务、解决方案以及学校、教研团队自身实践，基于对人工智能技术和产品应用，对基础教育教学、实践应用、测评管理、创新研究等任选一个或多个研究方向。</w:t>
            </w:r>
          </w:p>
        </w:tc>
      </w:tr>
    </w:tbl>
    <w:p w14:paraId="287B0FB5">
      <w:pPr>
        <w:pStyle w:val="2"/>
        <w:spacing w:before="312" w:beforeLines="100" w:line="480" w:lineRule="exact"/>
      </w:pPr>
      <w:r>
        <w:rPr>
          <w:rFonts w:hint="eastAsia"/>
        </w:rPr>
        <w:t>二、申报条件和要求</w:t>
      </w:r>
    </w:p>
    <w:p w14:paraId="5DA43425">
      <w:pPr>
        <w:adjustRightInd w:val="0"/>
        <w:snapToGrid w:val="0"/>
        <w:spacing w:line="480" w:lineRule="exact"/>
        <w:ind w:firstLine="480" w:firstLineChars="200"/>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1.团队成员在选定的研究课题方向有较好的技术储备，包括与申报课题研究内容相关的研究成果、</w:t>
      </w:r>
      <w:r>
        <w:rPr>
          <w:rFonts w:hint="eastAsia" w:ascii="宋体" w:hAnsi="宋体" w:eastAsia="宋体"/>
          <w:sz w:val="24"/>
          <w:szCs w:val="24"/>
        </w:rPr>
        <w:t>教材、论文、专利、获奖等。</w:t>
      </w:r>
    </w:p>
    <w:p w14:paraId="745DAC81">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2.项目申请者须为相关学院、专业的负责人或副教授及以上职称。团队组成合理，分工明确，数量不少于3人。</w:t>
      </w:r>
    </w:p>
    <w:p w14:paraId="32927AEF">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3.优先支持有志于进行教学改革、教学模式创新，已进行过类似研究，或有初步研究计划的院校。</w:t>
      </w:r>
    </w:p>
    <w:p w14:paraId="769B08EA">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.优先支持研究内容有创造性、前瞻性和实用性，有商业化前景的课题。</w:t>
      </w:r>
    </w:p>
    <w:p w14:paraId="7C2A1773">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.优先支持有明确研究成果，成果有应用价值，可复制、可推广的课题，不支持纯理论研究。</w:t>
      </w:r>
    </w:p>
    <w:p w14:paraId="0BFD83DE">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.优先支持研究方向明确，研究内容详实，研究方案完整可行的课题。</w:t>
      </w:r>
    </w:p>
    <w:p w14:paraId="33045BEA">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.可支持多个院校成立联合课题组，完成较为复杂的研究课题的联合申报和研究。</w:t>
      </w:r>
    </w:p>
    <w:p w14:paraId="5BF317B0">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.申请人应客观、真实地填写申请书，没有知识产权争议，遵守国家有关知识产权法规。在课题申请</w:t>
      </w:r>
      <w:r>
        <w:rPr>
          <w:rFonts w:ascii="宋体" w:hAnsi="宋体" w:eastAsia="宋体"/>
          <w:color w:val="000000" w:themeColor="text1"/>
          <w:sz w:val="24"/>
          <w:szCs w:val="24"/>
          <w14:textFill>
            <w14:solidFill>
              <w14:schemeClr w14:val="tx1"/>
            </w14:solidFill>
          </w14:textFill>
        </w:rPr>
        <w:t>书</w:t>
      </w:r>
      <w:r>
        <w:rPr>
          <w:rFonts w:hint="eastAsia" w:ascii="宋体" w:hAnsi="宋体" w:eastAsia="宋体"/>
          <w:color w:val="000000" w:themeColor="text1"/>
          <w:sz w:val="24"/>
          <w:szCs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E352C85">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9</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资助课题获得的知识产权由</w:t>
      </w:r>
      <w:r>
        <w:rPr>
          <w:rFonts w:hint="eastAsia" w:ascii="宋体" w:hAnsi="宋体" w:eastAsia="宋体"/>
          <w:color w:val="000000" w:themeColor="text1"/>
          <w:sz w:val="24"/>
          <w:szCs w:val="24"/>
          <w14:textFill>
            <w14:solidFill>
              <w14:schemeClr w14:val="tx1"/>
            </w14:solidFill>
          </w14:textFill>
        </w:rPr>
        <w:t>资助方</w:t>
      </w:r>
      <w:r>
        <w:rPr>
          <w:rFonts w:ascii="宋体" w:hAnsi="宋体" w:eastAsia="宋体"/>
          <w:color w:val="000000" w:themeColor="text1"/>
          <w:sz w:val="24"/>
          <w:szCs w:val="24"/>
          <w14:textFill>
            <w14:solidFill>
              <w14:schemeClr w14:val="tx1"/>
            </w14:solidFill>
          </w14:textFill>
        </w:rPr>
        <w:t>和</w:t>
      </w:r>
      <w:r>
        <w:rPr>
          <w:rFonts w:hint="eastAsia" w:ascii="宋体" w:hAnsi="宋体" w:eastAsia="宋体"/>
          <w:color w:val="000000" w:themeColor="text1"/>
          <w:sz w:val="24"/>
          <w:szCs w:val="24"/>
          <w14:textFill>
            <w14:solidFill>
              <w14:schemeClr w14:val="tx1"/>
            </w14:solidFill>
          </w14:textFill>
        </w:rPr>
        <w:t>课题</w:t>
      </w:r>
      <w:r>
        <w:rPr>
          <w:rFonts w:ascii="宋体" w:hAnsi="宋体" w:eastAsia="宋体"/>
          <w:color w:val="000000" w:themeColor="text1"/>
          <w:sz w:val="24"/>
          <w:szCs w:val="24"/>
          <w14:textFill>
            <w14:solidFill>
              <w14:schemeClr w14:val="tx1"/>
            </w14:solidFill>
          </w14:textFill>
        </w:rPr>
        <w:t>承担单位共同所有</w:t>
      </w:r>
      <w:r>
        <w:rPr>
          <w:rFonts w:hint="eastAsia" w:ascii="宋体" w:hAnsi="宋体" w:eastAsia="宋体"/>
          <w:color w:val="000000" w:themeColor="text1"/>
          <w:sz w:val="24"/>
          <w:szCs w:val="24"/>
          <w14:textFill>
            <w14:solidFill>
              <w14:schemeClr w14:val="tx1"/>
            </w14:solidFill>
          </w14:textFill>
        </w:rPr>
        <w:t>。</w:t>
      </w:r>
    </w:p>
    <w:p w14:paraId="2CE0562A">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0</w:t>
      </w:r>
      <w:r>
        <w:rPr>
          <w:rFonts w:hint="eastAsia" w:ascii="宋体" w:hAnsi="宋体" w:eastAsia="宋体"/>
          <w:color w:val="000000" w:themeColor="text1"/>
          <w:sz w:val="24"/>
          <w:szCs w:val="24"/>
          <w14:textFill>
            <w14:solidFill>
              <w14:schemeClr w14:val="tx1"/>
            </w14:solidFill>
          </w14:textFill>
        </w:rPr>
        <w:t>.课题组需具备可独立支配的课题研究基础软硬件条件。</w:t>
      </w:r>
    </w:p>
    <w:p w14:paraId="03C60806">
      <w:pPr>
        <w:adjustRightInd w:val="0"/>
        <w:snapToGrid w:val="0"/>
        <w:spacing w:line="480" w:lineRule="exact"/>
        <w:ind w:firstLine="480" w:firstLineChars="200"/>
        <w:rPr>
          <w:rFonts w:ascii="宋体" w:hAnsi="宋体" w:eastAsia="宋体"/>
          <w:color w:val="000000" w:themeColor="text1"/>
          <w:sz w:val="24"/>
          <w:szCs w:val="24"/>
          <w14:textFill>
            <w14:solidFill>
              <w14:schemeClr w14:val="tx1"/>
            </w14:solidFill>
          </w14:textFill>
        </w:rPr>
      </w:pPr>
    </w:p>
    <w:p w14:paraId="5A80DDDE">
      <w:pPr>
        <w:pStyle w:val="2"/>
        <w:spacing w:line="480" w:lineRule="exact"/>
      </w:pPr>
      <w:r>
        <w:rPr>
          <w:rFonts w:hint="eastAsia"/>
        </w:rPr>
        <w:t>三、资源及服务</w:t>
      </w:r>
    </w:p>
    <w:p w14:paraId="1865C0E5">
      <w:pPr>
        <w:adjustRightInd w:val="0"/>
        <w:snapToGrid w:val="0"/>
        <w:spacing w:line="48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sz w:val="24"/>
          <w:szCs w:val="28"/>
        </w:rPr>
        <w:t>针对入选合作院校，基金将提供完善的资源和服务体系，以保证院校顺利开展合作课题，</w:t>
      </w:r>
      <w:r>
        <w:rPr>
          <w:rFonts w:hint="eastAsia" w:ascii="宋体" w:hAnsi="宋体" w:eastAsia="宋体"/>
          <w:color w:val="000000" w:themeColor="text1"/>
          <w:sz w:val="24"/>
          <w:szCs w:val="28"/>
          <w14:textFill>
            <w14:solidFill>
              <w14:schemeClr w14:val="tx1"/>
            </w14:solidFill>
          </w14:textFill>
        </w:rPr>
        <w:t>并为院校在人工智能技术运用</w:t>
      </w:r>
      <w:r>
        <w:rPr>
          <w:rFonts w:ascii="宋体" w:hAnsi="宋体" w:eastAsia="宋体"/>
          <w:color w:val="000000" w:themeColor="text1"/>
          <w:sz w:val="24"/>
          <w:szCs w:val="28"/>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智慧</w:t>
      </w:r>
      <w:r>
        <w:rPr>
          <w:rFonts w:ascii="宋体" w:hAnsi="宋体" w:eastAsia="宋体"/>
          <w:color w:val="000000" w:themeColor="text1"/>
          <w:sz w:val="24"/>
          <w:szCs w:val="28"/>
          <w14:textFill>
            <w14:solidFill>
              <w14:schemeClr w14:val="tx1"/>
            </w14:solidFill>
          </w14:textFill>
        </w:rPr>
        <w:t>教学、</w:t>
      </w:r>
      <w:r>
        <w:rPr>
          <w:rFonts w:hint="eastAsia" w:ascii="宋体" w:hAnsi="宋体" w:eastAsia="宋体"/>
          <w:color w:val="000000" w:themeColor="text1"/>
          <w:sz w:val="24"/>
          <w:szCs w:val="28"/>
          <w14:textFill>
            <w14:solidFill>
              <w14:schemeClr w14:val="tx1"/>
            </w14:solidFill>
          </w14:textFill>
        </w:rPr>
        <w:t>大模型创新应用等领域，以及本课题鼓励支持方向的科研、教学和人才培养提供长期有效的支持。</w:t>
      </w:r>
    </w:p>
    <w:p w14:paraId="293AD3F2">
      <w:pPr>
        <w:adjustRightInd w:val="0"/>
        <w:snapToGrid w:val="0"/>
        <w:spacing w:line="48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1.“科大讯飞高校创新研究专项”为每个立项课题提供对应的科研经费、软硬件平台支持，为申报团队提供创新项目选题指导，并根据需求开展服务校方等工作。</w:t>
      </w:r>
    </w:p>
    <w:p w14:paraId="646F87C2">
      <w:pPr>
        <w:adjustRightInd w:val="0"/>
        <w:snapToGrid w:val="0"/>
        <w:spacing w:line="48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2.</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基金课题发起单位将辅助、联合申报院校申报新的科研课题，提供项目咨询服务和技术支持，辅助科研成果的快速产品化及解决方案的包装。</w:t>
      </w:r>
    </w:p>
    <w:p w14:paraId="4EB1D955"/>
    <w:p w14:paraId="5FF09C34">
      <w:pPr>
        <w:adjustRightInd w:val="0"/>
        <w:snapToGrid w:val="0"/>
        <w:spacing w:after="156" w:afterLines="50"/>
        <w:ind w:firstLine="482"/>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表二 提供给课题研究的软硬件服务说明（研究方向A01-A04限选B01-B07；研究方向A05限选B08；研究方向A06限选C01-C14）</w:t>
      </w:r>
    </w:p>
    <w:tbl>
      <w:tblPr>
        <w:tblStyle w:val="6"/>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6237"/>
      </w:tblGrid>
      <w:tr w14:paraId="321A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000000" w:fill="C0C0C0"/>
            <w:vAlign w:val="center"/>
          </w:tcPr>
          <w:p w14:paraId="4480F11D">
            <w:pPr>
              <w:adjustRightInd w:val="0"/>
              <w:snapToGrid w:val="0"/>
              <w:spacing w:before="156" w:beforeLines="50" w:after="156" w:afterLines="50" w:line="3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平台编号</w:t>
            </w:r>
          </w:p>
        </w:tc>
        <w:tc>
          <w:tcPr>
            <w:tcW w:w="1701" w:type="dxa"/>
            <w:shd w:val="clear" w:color="000000" w:fill="C0C0C0"/>
            <w:vAlign w:val="center"/>
          </w:tcPr>
          <w:p w14:paraId="1EC39084">
            <w:pPr>
              <w:adjustRightInd w:val="0"/>
              <w:snapToGrid w:val="0"/>
              <w:spacing w:before="156" w:beforeLines="50" w:after="156" w:afterLines="50" w:line="3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软硬件服务名称</w:t>
            </w:r>
          </w:p>
        </w:tc>
        <w:tc>
          <w:tcPr>
            <w:tcW w:w="6237" w:type="dxa"/>
            <w:shd w:val="clear" w:color="000000" w:fill="C0C0C0"/>
            <w:vAlign w:val="center"/>
          </w:tcPr>
          <w:p w14:paraId="3D75A122">
            <w:pPr>
              <w:adjustRightInd w:val="0"/>
              <w:snapToGrid w:val="0"/>
              <w:spacing w:before="156" w:beforeLines="50" w:after="156" w:afterLines="50" w:line="320" w:lineRule="exact"/>
              <w:ind w:firstLine="562"/>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14:paraId="6977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261ECAB">
            <w:pPr>
              <w:adjustRightInd w:val="0"/>
              <w:snapToGrid w:val="0"/>
              <w:spacing w:before="124" w:beforeLines="40" w:after="124" w:afterLines="40"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B01</w:t>
            </w:r>
          </w:p>
        </w:tc>
        <w:tc>
          <w:tcPr>
            <w:tcW w:w="1701" w:type="dxa"/>
            <w:shd w:val="clear" w:color="auto" w:fill="auto"/>
            <w:vAlign w:val="center"/>
          </w:tcPr>
          <w:p w14:paraId="206733F8">
            <w:pPr>
              <w:pStyle w:val="8"/>
              <w:adjustRightInd w:val="0"/>
              <w:snapToGrid w:val="0"/>
              <w:spacing w:before="124" w:beforeLines="40" w:after="124" w:afterLines="40" w:line="320" w:lineRule="exact"/>
              <w:ind w:left="-63" w:leftChars="-30" w:firstLine="0" w:firstLineChars="0"/>
              <w:contextualSpacing w:val="0"/>
              <w:rPr>
                <w:rFonts w:ascii="宋体" w:hAnsi="宋体" w:eastAsia="宋体" w:cs="宋体"/>
                <w:sz w:val="20"/>
              </w:rPr>
            </w:pPr>
            <w:r>
              <w:rPr>
                <w:rFonts w:hint="eastAsia" w:ascii="宋体" w:hAnsi="宋体" w:eastAsia="宋体" w:cs="宋体"/>
                <w:sz w:val="20"/>
              </w:rPr>
              <w:t>讯飞智慧课程平台</w:t>
            </w:r>
          </w:p>
        </w:tc>
        <w:tc>
          <w:tcPr>
            <w:tcW w:w="6237" w:type="dxa"/>
            <w:shd w:val="clear" w:color="auto" w:fill="auto"/>
            <w:vAlign w:val="center"/>
          </w:tcPr>
          <w:p w14:paraId="05B9F0CF">
            <w:pPr>
              <w:shd w:val="clear" w:color="auto" w:fill="FFFFFF"/>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讯飞智慧课程平台依托学科大模型、科技文献大模型，能够帮助学校打造高质量智慧课程，实现“精准教、个性学、高效研、科学管”。面向教师，平台提供AI助教以及全场景融合性AI应用，助力教学减负增效；面向学生，平台支持章节式、图谱式和自适应等多种学习模式，提供全天候、引导式A1学伴，助力构建“千人千面”的人才培养新模式。</w:t>
            </w:r>
          </w:p>
        </w:tc>
      </w:tr>
      <w:tr w14:paraId="33D2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821C76B">
            <w:pPr>
              <w:adjustRightInd w:val="0"/>
              <w:snapToGrid w:val="0"/>
              <w:spacing w:before="124" w:beforeLines="40" w:after="124" w:afterLines="40"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B02</w:t>
            </w:r>
          </w:p>
        </w:tc>
        <w:tc>
          <w:tcPr>
            <w:tcW w:w="1701" w:type="dxa"/>
            <w:shd w:val="clear" w:color="auto" w:fill="auto"/>
            <w:vAlign w:val="center"/>
          </w:tcPr>
          <w:p w14:paraId="7CF0F756">
            <w:pPr>
              <w:adjustRightInd w:val="0"/>
              <w:snapToGrid w:val="0"/>
              <w:spacing w:before="124" w:beforeLines="40" w:after="124" w:afterLines="40" w:line="320" w:lineRule="exact"/>
              <w:rPr>
                <w:rFonts w:ascii="宋体" w:hAnsi="宋体" w:eastAsia="宋体" w:cs="宋体"/>
                <w:sz w:val="20"/>
              </w:rPr>
            </w:pPr>
            <w:r>
              <w:rPr>
                <w:rFonts w:hint="eastAsia" w:ascii="宋体" w:hAnsi="宋体" w:eastAsia="宋体" w:cs="宋体"/>
                <w:sz w:val="20"/>
              </w:rPr>
              <w:t>小雅智能教学平台</w:t>
            </w:r>
          </w:p>
        </w:tc>
        <w:tc>
          <w:tcPr>
            <w:tcW w:w="6237" w:type="dxa"/>
            <w:shd w:val="clear" w:color="auto" w:fill="auto"/>
            <w:vAlign w:val="center"/>
          </w:tcPr>
          <w:p w14:paraId="5722BA05">
            <w:pPr>
              <w:shd w:val="clear" w:color="auto" w:fill="FFFFFF"/>
              <w:adjustRightInd w:val="0"/>
              <w:snapToGrid w:val="0"/>
              <w:spacing w:before="124" w:beforeLines="40" w:after="124" w:afterLines="4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平台能够实现“备、教、学、测、评、督、管”全场景数智化贯通。为学校人才培养、教学创新、评价改革、教学研究、教育管理等全方位变革赋能，塑造教育教学高质量发展新优势。</w:t>
            </w:r>
          </w:p>
        </w:tc>
      </w:tr>
      <w:tr w14:paraId="4F56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630C7112">
            <w:pPr>
              <w:adjustRightInd w:val="0"/>
              <w:snapToGrid w:val="0"/>
              <w:spacing w:before="124" w:beforeLines="40" w:after="124" w:afterLines="40"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B03</w:t>
            </w:r>
          </w:p>
        </w:tc>
        <w:tc>
          <w:tcPr>
            <w:tcW w:w="1701" w:type="dxa"/>
            <w:shd w:val="clear" w:color="auto" w:fill="auto"/>
            <w:vAlign w:val="center"/>
          </w:tcPr>
          <w:p w14:paraId="5F9771E0">
            <w:pPr>
              <w:adjustRightInd w:val="0"/>
              <w:snapToGrid w:val="0"/>
              <w:spacing w:before="124" w:beforeLines="40" w:after="124" w:afterLines="40" w:line="320" w:lineRule="exact"/>
              <w:rPr>
                <w:rFonts w:ascii="宋体" w:hAnsi="宋体" w:eastAsia="宋体" w:cs="宋体"/>
                <w:sz w:val="20"/>
              </w:rPr>
            </w:pPr>
            <w:r>
              <w:rPr>
                <w:rFonts w:hint="eastAsia" w:ascii="宋体" w:hAnsi="宋体" w:eastAsia="宋体" w:cs="宋体"/>
                <w:sz w:val="20"/>
              </w:rPr>
              <w:t>星火科研助手</w:t>
            </w:r>
          </w:p>
        </w:tc>
        <w:tc>
          <w:tcPr>
            <w:tcW w:w="6237" w:type="dxa"/>
            <w:shd w:val="clear" w:color="auto" w:fill="auto"/>
            <w:vAlign w:val="center"/>
          </w:tcPr>
          <w:p w14:paraId="4EAC9E8C">
            <w:pPr>
              <w:shd w:val="clear" w:color="auto" w:fill="FFFFFF"/>
              <w:adjustRightInd w:val="0"/>
              <w:snapToGrid w:val="0"/>
              <w:spacing w:before="124" w:beforeLines="40" w:after="124" w:afterLines="4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星火科研助手基于星火大模型和专业语料库构建，在论文成果调研阶段，可以快速检索相关领域的文献资料，并通过智能分析提炼出关键信息，对相关领域文献资料做整体分析和细节分析，帮助科研人员进行研究成果总结、学者论文调研，还可进行文章润色、翻译、查重，保障文献处理的深度和广度，提升科研效率。</w:t>
            </w:r>
          </w:p>
        </w:tc>
      </w:tr>
      <w:tr w14:paraId="50D1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A671EA4">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B04</w:t>
            </w:r>
          </w:p>
        </w:tc>
        <w:tc>
          <w:tcPr>
            <w:tcW w:w="1701" w:type="dxa"/>
            <w:shd w:val="clear" w:color="auto" w:fill="auto"/>
            <w:vAlign w:val="center"/>
          </w:tcPr>
          <w:p w14:paraId="3879E814">
            <w:pPr>
              <w:pStyle w:val="8"/>
              <w:adjustRightInd w:val="0"/>
              <w:snapToGrid w:val="0"/>
              <w:spacing w:before="124" w:beforeLines="40" w:after="124" w:afterLines="40" w:line="320" w:lineRule="exact"/>
              <w:ind w:left="-63" w:leftChars="-30" w:firstLine="0" w:firstLineChars="0"/>
              <w:contextualSpacing w:val="0"/>
              <w:rPr>
                <w:rFonts w:ascii="宋体" w:hAnsi="宋体" w:eastAsia="宋体" w:cs="宋体"/>
                <w:color w:val="auto"/>
                <w:sz w:val="20"/>
              </w:rPr>
            </w:pPr>
            <w:r>
              <w:rPr>
                <w:rFonts w:hint="eastAsia" w:ascii="宋体" w:hAnsi="宋体" w:eastAsia="宋体" w:cs="宋体"/>
                <w:color w:val="auto"/>
                <w:sz w:val="20"/>
              </w:rPr>
              <w:t>讯飞AI考试系统</w:t>
            </w:r>
          </w:p>
        </w:tc>
        <w:tc>
          <w:tcPr>
            <w:tcW w:w="6237" w:type="dxa"/>
            <w:shd w:val="clear" w:color="auto" w:fill="auto"/>
            <w:vAlign w:val="center"/>
          </w:tcPr>
          <w:p w14:paraId="1EFEF9DE">
            <w:pPr>
              <w:adjustRightInd w:val="0"/>
              <w:snapToGrid w:val="0"/>
              <w:spacing w:before="124" w:beforeLines="40" w:after="124" w:afterLines="40" w:line="300" w:lineRule="exact"/>
              <w:ind w:firstLine="400" w:firstLineChars="200"/>
              <w:rPr>
                <w:rFonts w:ascii="宋体" w:hAnsi="宋体" w:eastAsia="宋体"/>
                <w:sz w:val="20"/>
                <w:szCs w:val="20"/>
              </w:rPr>
            </w:pPr>
            <w:r>
              <w:rPr>
                <w:rFonts w:hint="eastAsia" w:ascii="宋体" w:hAnsi="宋体" w:eastAsia="宋体"/>
                <w:sz w:val="20"/>
                <w:szCs w:val="20"/>
              </w:rPr>
              <w:t>讯飞AI考试系统</w:t>
            </w:r>
            <w:r>
              <w:rPr>
                <w:rFonts w:ascii="宋体" w:hAnsi="宋体" w:eastAsia="宋体"/>
                <w:sz w:val="20"/>
                <w:szCs w:val="20"/>
              </w:rPr>
              <w:t>可满足高校线上和线下全场景考试需求，帮助高校解决试题资源建设、考务管理、抽题组卷、监考管理与追踪、在线阅卷与智能评阅、数字化留痕归档、成绩分析等考试全流程的组织管理与实施问题，助力高校建设校级考试中心。</w:t>
            </w:r>
          </w:p>
        </w:tc>
      </w:tr>
      <w:tr w14:paraId="2D9F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261E782F">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B05</w:t>
            </w:r>
          </w:p>
        </w:tc>
        <w:tc>
          <w:tcPr>
            <w:tcW w:w="1701" w:type="dxa"/>
            <w:shd w:val="clear" w:color="auto" w:fill="auto"/>
            <w:vAlign w:val="center"/>
          </w:tcPr>
          <w:p w14:paraId="4D85D5CD">
            <w:pPr>
              <w:adjustRightInd w:val="0"/>
              <w:snapToGrid w:val="0"/>
              <w:spacing w:before="124" w:beforeLines="40" w:after="124" w:afterLines="40" w:line="320" w:lineRule="exact"/>
              <w:rPr>
                <w:rFonts w:ascii="宋体" w:hAnsi="宋体" w:eastAsia="宋体" w:cs="宋体"/>
                <w:sz w:val="20"/>
              </w:rPr>
            </w:pPr>
            <w:r>
              <w:rPr>
                <w:rFonts w:hint="eastAsia" w:ascii="宋体" w:hAnsi="宋体" w:eastAsia="宋体" w:cs="宋体"/>
                <w:sz w:val="20"/>
              </w:rPr>
              <w:t>讯飞口语训练系统</w:t>
            </w:r>
          </w:p>
        </w:tc>
        <w:tc>
          <w:tcPr>
            <w:tcW w:w="6237" w:type="dxa"/>
            <w:shd w:val="clear" w:color="auto" w:fill="auto"/>
            <w:vAlign w:val="center"/>
          </w:tcPr>
          <w:p w14:paraId="508D8D17">
            <w:pPr>
              <w:adjustRightInd w:val="0"/>
              <w:snapToGrid w:val="0"/>
              <w:spacing w:before="124" w:beforeLines="40" w:after="124" w:afterLines="40" w:line="300" w:lineRule="exact"/>
              <w:ind w:firstLine="400" w:firstLineChars="200"/>
              <w:rPr>
                <w:rFonts w:ascii="宋体" w:hAnsi="宋体" w:eastAsia="宋体"/>
                <w:sz w:val="20"/>
                <w:szCs w:val="20"/>
              </w:rPr>
            </w:pPr>
            <w:r>
              <w:rPr>
                <w:rFonts w:hint="eastAsia" w:ascii="宋体" w:hAnsi="宋体" w:eastAsia="宋体"/>
                <w:color w:val="000000" w:themeColor="text1"/>
                <w:sz w:val="20"/>
                <w:szCs w:val="20"/>
                <w14:textFill>
                  <w14:solidFill>
                    <w14:schemeClr w14:val="tx1"/>
                  </w14:solidFill>
                </w14:textFill>
              </w:rPr>
              <w:t>讯飞</w:t>
            </w:r>
            <w:r>
              <w:rPr>
                <w:rFonts w:ascii="宋体" w:hAnsi="宋体" w:eastAsia="宋体"/>
                <w:color w:val="000000" w:themeColor="text1"/>
                <w:sz w:val="20"/>
                <w:szCs w:val="20"/>
                <w14:textFill>
                  <w14:solidFill>
                    <w14:schemeClr w14:val="tx1"/>
                  </w14:solidFill>
                </w14:textFill>
              </w:rPr>
              <w:t>口语训练系统是基于科大讯飞核心智能语音技术，配套丰富的英语听说智能评测训练内容的教学与管理系统，可支持高校师生灵活开展英语教学活动。</w:t>
            </w:r>
          </w:p>
        </w:tc>
      </w:tr>
      <w:tr w14:paraId="6D89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2EBC7EAF">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B06</w:t>
            </w:r>
          </w:p>
        </w:tc>
        <w:tc>
          <w:tcPr>
            <w:tcW w:w="1701" w:type="dxa"/>
            <w:shd w:val="clear" w:color="auto" w:fill="auto"/>
            <w:vAlign w:val="center"/>
          </w:tcPr>
          <w:p w14:paraId="163A96E6">
            <w:pPr>
              <w:pStyle w:val="8"/>
              <w:adjustRightInd w:val="0"/>
              <w:snapToGrid w:val="0"/>
              <w:spacing w:before="124" w:beforeLines="40" w:after="124" w:afterLines="40" w:line="320" w:lineRule="exact"/>
              <w:ind w:left="-63" w:leftChars="-30" w:firstLine="0" w:firstLineChars="0"/>
              <w:contextualSpacing w:val="0"/>
              <w:rPr>
                <w:rFonts w:ascii="宋体" w:hAnsi="宋体" w:eastAsia="宋体" w:cs="宋体"/>
                <w:color w:val="auto"/>
                <w:sz w:val="20"/>
              </w:rPr>
            </w:pPr>
            <w:r>
              <w:rPr>
                <w:rFonts w:hint="eastAsia" w:ascii="宋体" w:hAnsi="宋体" w:eastAsia="宋体" w:cs="宋体"/>
                <w:color w:val="auto"/>
                <w:sz w:val="20"/>
              </w:rPr>
              <w:t>讯飞人工智能通识教育解决方案</w:t>
            </w:r>
          </w:p>
        </w:tc>
        <w:tc>
          <w:tcPr>
            <w:tcW w:w="6237" w:type="dxa"/>
            <w:shd w:val="clear" w:color="auto" w:fill="auto"/>
            <w:vAlign w:val="center"/>
          </w:tcPr>
          <w:p w14:paraId="0B7FB8A4">
            <w:pPr>
              <w:adjustRightInd w:val="0"/>
              <w:snapToGrid w:val="0"/>
              <w:spacing w:before="124" w:beforeLines="40" w:after="124" w:afterLines="4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讯飞人工智能通识教育解决方案可提供体系化的数字课程与智能高效的智慧助教。数字课程涵盖AI通识基础、AI+产业、AI+项目等模块，定期更新技术前沿动态与产业前瞻内容，确保学习者紧跟人工智能领域最新发展趋势，深入理解技术产业化落地的具体应用与实践；大模型赋能的智慧助教可进行个性化指导，帮助学习者提升学习效率。</w:t>
            </w:r>
          </w:p>
        </w:tc>
      </w:tr>
      <w:tr w14:paraId="55E2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A6F01B4">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w:t>
            </w:r>
            <w:r>
              <w:rPr>
                <w:rFonts w:hint="eastAsia" w:ascii="宋体" w:hAnsi="宋体" w:eastAsia="宋体"/>
                <w:sz w:val="20"/>
                <w:szCs w:val="20"/>
              </w:rPr>
              <w:t>7</w:t>
            </w:r>
          </w:p>
        </w:tc>
        <w:tc>
          <w:tcPr>
            <w:tcW w:w="1701" w:type="dxa"/>
            <w:shd w:val="clear" w:color="auto" w:fill="auto"/>
            <w:vAlign w:val="center"/>
          </w:tcPr>
          <w:p w14:paraId="517781AD">
            <w:pPr>
              <w:adjustRightInd w:val="0"/>
              <w:snapToGrid w:val="0"/>
              <w:spacing w:before="124" w:beforeLines="40" w:after="124" w:afterLines="40" w:line="320" w:lineRule="exact"/>
              <w:rPr>
                <w:rFonts w:ascii="宋体" w:hAnsi="宋体" w:eastAsia="宋体" w:cs="宋体"/>
                <w:sz w:val="20"/>
              </w:rPr>
            </w:pPr>
            <w:r>
              <w:rPr>
                <w:rFonts w:hint="eastAsia" w:ascii="宋体" w:hAnsi="宋体" w:eastAsia="宋体" w:cs="宋体"/>
                <w:sz w:val="20"/>
              </w:rPr>
              <w:t>大模型应用</w:t>
            </w:r>
          </w:p>
        </w:tc>
        <w:tc>
          <w:tcPr>
            <w:tcW w:w="6237" w:type="dxa"/>
            <w:shd w:val="clear" w:color="auto" w:fill="auto"/>
            <w:vAlign w:val="center"/>
          </w:tcPr>
          <w:p w14:paraId="561D997A">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sz w:val="20"/>
                <w:szCs w:val="20"/>
              </w:rPr>
            </w:pPr>
            <w:r>
              <w:rPr>
                <w:rFonts w:hint="eastAsia" w:ascii="宋体" w:hAnsi="宋体" w:eastAsia="宋体" w:cs="宋体"/>
                <w:sz w:val="20"/>
                <w:szCs w:val="20"/>
              </w:rPr>
              <w:t>讯飞星火认知大模型拥有跨领域的知识和语言理解能力，能够基于自然对话方式理解与执行任务。从海量数据和大规模知识中持续进化，实现从提出、规划到解决问题的全流程闭环。星火大模型具有以下核心能力：文本生成、语言理解、知识问答、逻辑推理、代码能力、数学能力、多模态能力。目前，大模型应用能够支持机器翻译、文本摘要、情感分析等语言理解应用，支持生活常识、工作技能、历史人文等知识问答应用，支持思维推理、科学推理、常识推理等逻辑推理应用，支持代码理解和编写应用等。</w:t>
            </w:r>
          </w:p>
        </w:tc>
      </w:tr>
      <w:tr w14:paraId="2477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13A677C3">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B08</w:t>
            </w:r>
          </w:p>
        </w:tc>
        <w:tc>
          <w:tcPr>
            <w:tcW w:w="1701" w:type="dxa"/>
            <w:shd w:val="clear" w:color="auto" w:fill="auto"/>
            <w:vAlign w:val="center"/>
          </w:tcPr>
          <w:p w14:paraId="72DB9D1A">
            <w:pPr>
              <w:pStyle w:val="8"/>
              <w:adjustRightInd w:val="0"/>
              <w:snapToGrid w:val="0"/>
              <w:spacing w:before="124" w:beforeLines="40" w:after="124" w:afterLines="40" w:line="320" w:lineRule="exact"/>
              <w:ind w:left="-63" w:leftChars="-30" w:firstLine="0" w:firstLineChars="0"/>
              <w:contextualSpacing w:val="0"/>
              <w:rPr>
                <w:rFonts w:ascii="宋体" w:hAnsi="宋体" w:eastAsia="宋体" w:cs="宋体"/>
                <w:color w:val="auto"/>
                <w:sz w:val="20"/>
              </w:rPr>
            </w:pPr>
            <w:r>
              <w:rPr>
                <w:rFonts w:hint="eastAsia" w:ascii="宋体" w:hAnsi="宋体" w:eastAsia="宋体" w:cs="宋体"/>
                <w:color w:val="auto"/>
                <w:sz w:val="20"/>
              </w:rPr>
              <w:t>智能体应用开发平台</w:t>
            </w:r>
          </w:p>
        </w:tc>
        <w:tc>
          <w:tcPr>
            <w:tcW w:w="6237" w:type="dxa"/>
            <w:shd w:val="clear" w:color="auto" w:fill="auto"/>
            <w:vAlign w:val="center"/>
          </w:tcPr>
          <w:p w14:paraId="1152C491">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AI智能体平台是集智能体创建和智能体发布的一体化平台。通过智能体开发平台师生能够以无代码/低代码的形式创建和使用智能体。智能体开发平台专为快速构建和部署智能体而设计。该平台支持智能聊天助手应用开发、沙盒式工作流构建、符合OpenAPI规范的HTTP插件集成、知识库问答与检索等核心功能模块。最大粒度满足智能体应用开发过程中所需的模块。建成后，学校可具备自主建设应用智能体，发布智能体超市能力，可用于教学活动、也可用于校园实践。在教学、科研、管理、服务及产业应用等领域均可发挥价值。</w:t>
            </w:r>
          </w:p>
        </w:tc>
      </w:tr>
      <w:tr w14:paraId="1FE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189E55A6">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C</w:t>
            </w:r>
            <w:r>
              <w:rPr>
                <w:rFonts w:ascii="宋体" w:hAnsi="宋体" w:eastAsia="宋体"/>
                <w:sz w:val="20"/>
                <w:szCs w:val="20"/>
              </w:rPr>
              <w:t>01</w:t>
            </w:r>
          </w:p>
        </w:tc>
        <w:tc>
          <w:tcPr>
            <w:tcW w:w="1701" w:type="dxa"/>
            <w:shd w:val="clear" w:color="auto" w:fill="auto"/>
            <w:vAlign w:val="center"/>
          </w:tcPr>
          <w:p w14:paraId="0759D2BA">
            <w:pPr>
              <w:pStyle w:val="8"/>
              <w:adjustRightInd w:val="0"/>
              <w:snapToGrid w:val="0"/>
              <w:spacing w:before="124" w:beforeLines="40" w:after="124" w:afterLines="40" w:line="320" w:lineRule="exact"/>
              <w:ind w:left="-63" w:leftChars="-30" w:firstLine="0" w:firstLineChars="0"/>
              <w:contextualSpacing w:val="0"/>
              <w:rPr>
                <w:rFonts w:ascii="宋体" w:hAnsi="宋体" w:eastAsia="宋体" w:cs="宋体"/>
                <w:color w:val="auto"/>
                <w:sz w:val="20"/>
              </w:rPr>
            </w:pPr>
            <w:r>
              <w:rPr>
                <w:rFonts w:hint="eastAsia" w:ascii="宋体" w:hAnsi="宋体" w:eastAsia="宋体" w:cs="宋体"/>
                <w:color w:val="auto"/>
                <w:sz w:val="20"/>
              </w:rPr>
              <w:t>因材施教综合解决方案</w:t>
            </w:r>
          </w:p>
        </w:tc>
        <w:tc>
          <w:tcPr>
            <w:tcW w:w="6237" w:type="dxa"/>
            <w:shd w:val="clear" w:color="auto" w:fill="auto"/>
            <w:vAlign w:val="center"/>
          </w:tcPr>
          <w:p w14:paraId="5C20FFDB">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color w:val="000000" w:themeColor="text1"/>
                <w:sz w:val="20"/>
                <w:szCs w:val="20"/>
                <w:highlight w:val="yellow"/>
                <w14:textFill>
                  <w14:solidFill>
                    <w14:schemeClr w14:val="tx1"/>
                  </w14:solidFill>
                </w14:textFill>
              </w:rPr>
            </w:pPr>
            <w:r>
              <w:rPr>
                <w:rFonts w:hint="eastAsia" w:ascii="宋体" w:hAnsi="宋体" w:eastAsia="宋体" w:cs="宋体"/>
                <w:sz w:val="20"/>
                <w:szCs w:val="20"/>
              </w:rPr>
              <w:t>因材施教综合解决方案通过人工智能、大数据等核心技术与教育教学场景深度融合，在教学、育人、评价多环节形成了支持多模态数据自动采集、智能分析、个性推荐的创新应用体系，同时构建集大模型、大数据、互联互通能力于一体的教育数字基座，助力区域打造规模化因材施教的新生态。方案通过“技术、资源、教学、教研、管理、产品服务”一盘棋的实践思路，助力区域统筹以教育数字化助推教育高质量发展；帮助区校管理者数字治理，实现精准施策；帮助教师减负增效，实现精准施教；帮助学生学业减负提质、五育并举，实现全面而有个性的发展。</w:t>
            </w:r>
          </w:p>
        </w:tc>
      </w:tr>
      <w:tr w14:paraId="4462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6EA2FF01">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02</w:t>
            </w:r>
          </w:p>
        </w:tc>
        <w:tc>
          <w:tcPr>
            <w:tcW w:w="1701" w:type="dxa"/>
            <w:shd w:val="clear" w:color="auto" w:fill="auto"/>
            <w:vAlign w:val="center"/>
          </w:tcPr>
          <w:p w14:paraId="44609198">
            <w:pPr>
              <w:adjustRightInd w:val="0"/>
              <w:snapToGrid w:val="0"/>
              <w:spacing w:before="124" w:beforeLines="40" w:after="124" w:afterLines="40" w:line="320" w:lineRule="exact"/>
              <w:rPr>
                <w:rFonts w:ascii="宋体" w:hAnsi="宋体" w:eastAsia="宋体" w:cs="宋体"/>
                <w:sz w:val="20"/>
              </w:rPr>
            </w:pPr>
            <w:r>
              <w:rPr>
                <w:rFonts w:hint="eastAsia" w:ascii="宋体" w:hAnsi="宋体" w:eastAsia="宋体" w:cs="宋体"/>
                <w:sz w:val="20"/>
              </w:rPr>
              <w:t>教育数字基座</w:t>
            </w:r>
          </w:p>
        </w:tc>
        <w:tc>
          <w:tcPr>
            <w:tcW w:w="6237" w:type="dxa"/>
            <w:shd w:val="clear" w:color="auto" w:fill="auto"/>
            <w:vAlign w:val="center"/>
          </w:tcPr>
          <w:p w14:paraId="08F40F40">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教育数字基座是以先进的人工智能、云计算、大数据等技术为基础，针对区校一体客户，构建“五大中心+统一入口”基础平台，为教育局、学校提供一套“开箱即用”的新型教育数字化操作系统。解决区域间数字化建设学校发展不均衡、重复建设、应用生态建设难、数据利用率低等问题，帮助区域和学校建标准、搭平台、盘数据、接应用，助力教育数字化转型升级。</w:t>
            </w:r>
          </w:p>
        </w:tc>
      </w:tr>
      <w:tr w14:paraId="58D9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0250B69D">
            <w:pPr>
              <w:adjustRightInd w:val="0"/>
              <w:snapToGrid w:val="0"/>
              <w:spacing w:before="124" w:beforeLines="40" w:after="124" w:afterLines="40" w:line="320" w:lineRule="exact"/>
              <w:jc w:val="center"/>
              <w:rPr>
                <w:rFonts w:ascii="宋体" w:hAnsi="宋体" w:eastAsia="宋体"/>
                <w:sz w:val="20"/>
                <w:highlight w:val="yellow"/>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3</w:t>
            </w:r>
          </w:p>
        </w:tc>
        <w:tc>
          <w:tcPr>
            <w:tcW w:w="1701" w:type="dxa"/>
            <w:shd w:val="clear" w:color="auto" w:fill="auto"/>
            <w:vAlign w:val="center"/>
          </w:tcPr>
          <w:p w14:paraId="56391299">
            <w:pPr>
              <w:pStyle w:val="8"/>
              <w:adjustRightInd w:val="0"/>
              <w:snapToGrid w:val="0"/>
              <w:spacing w:before="124" w:beforeLines="40" w:after="124" w:afterLines="40" w:line="320" w:lineRule="exact"/>
              <w:ind w:left="-63" w:leftChars="-30" w:firstLine="0" w:firstLineChars="0"/>
              <w:contextualSpacing w:val="0"/>
              <w:rPr>
                <w:rFonts w:ascii="宋体" w:hAnsi="宋体" w:eastAsia="宋体" w:cs="宋体"/>
                <w:color w:val="auto"/>
                <w:sz w:val="20"/>
              </w:rPr>
            </w:pPr>
            <w:r>
              <w:rPr>
                <w:rFonts w:hint="eastAsia" w:ascii="宋体" w:hAnsi="宋体" w:eastAsia="宋体" w:cs="宋体"/>
                <w:color w:val="auto"/>
                <w:sz w:val="20"/>
              </w:rPr>
              <w:t>星火应用开发助手</w:t>
            </w:r>
          </w:p>
        </w:tc>
        <w:tc>
          <w:tcPr>
            <w:tcW w:w="6237" w:type="dxa"/>
            <w:shd w:val="clear" w:color="auto" w:fill="auto"/>
            <w:vAlign w:val="center"/>
          </w:tcPr>
          <w:p w14:paraId="5F3C795F">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结合低代码引擎和讯飞星火大模型打造的基于数字基座生态的星火应用开发助手，让不懂编程的教育工作者通过“一句话”需求描述即可实现自主创作教育轻管理应用，满足学校信息化系统的“好用易用、个性建、灵活调、精细建”的建设需求，加速教育管理数字化。</w:t>
            </w:r>
          </w:p>
        </w:tc>
      </w:tr>
      <w:tr w14:paraId="69B5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0EC1B918">
            <w:pPr>
              <w:adjustRightInd w:val="0"/>
              <w:snapToGrid w:val="0"/>
              <w:spacing w:before="124" w:beforeLines="40" w:after="124" w:afterLines="40" w:line="320" w:lineRule="exact"/>
              <w:jc w:val="center"/>
              <w:rPr>
                <w:rFonts w:ascii="宋体" w:hAnsi="宋体" w:eastAsia="宋体"/>
                <w:sz w:val="20"/>
                <w:highlight w:val="yellow"/>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4</w:t>
            </w:r>
          </w:p>
        </w:tc>
        <w:tc>
          <w:tcPr>
            <w:tcW w:w="1701" w:type="dxa"/>
            <w:shd w:val="clear" w:color="auto" w:fill="auto"/>
            <w:vAlign w:val="center"/>
          </w:tcPr>
          <w:p w14:paraId="386F2ABE">
            <w:pPr>
              <w:pStyle w:val="8"/>
              <w:adjustRightInd w:val="0"/>
              <w:snapToGrid w:val="0"/>
              <w:spacing w:before="124" w:beforeLines="40" w:after="124" w:afterLines="40" w:line="320" w:lineRule="exact"/>
              <w:ind w:left="0" w:firstLine="0" w:firstLineChars="0"/>
              <w:contextualSpacing w:val="0"/>
              <w:rPr>
                <w:rFonts w:ascii="宋体" w:hAnsi="宋体" w:eastAsia="宋体" w:cs="宋体"/>
                <w:color w:val="auto"/>
                <w:sz w:val="20"/>
              </w:rPr>
            </w:pPr>
            <w:r>
              <w:rPr>
                <w:rFonts w:hint="eastAsia" w:ascii="宋体" w:hAnsi="宋体" w:eastAsia="宋体" w:cs="宋体"/>
                <w:color w:val="auto"/>
                <w:sz w:val="20"/>
              </w:rPr>
              <w:t>教育大数据洞察</w:t>
            </w:r>
          </w:p>
        </w:tc>
        <w:tc>
          <w:tcPr>
            <w:tcW w:w="6237" w:type="dxa"/>
            <w:shd w:val="clear" w:color="auto" w:fill="auto"/>
            <w:vAlign w:val="center"/>
          </w:tcPr>
          <w:p w14:paraId="12BF8BA3">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依托讯飞智慧教育教、学、考、评、管、研全场景智慧教育的产品优势和海量数据，构建系统而全面的教育行业主题模型、行业指标库和行业大数据应用，制定数据标准，兼容三方厂商 ，拉通多场景下的数据分析闭环，辅助管理者开展全面高效的管理决策和教育治理。</w:t>
            </w:r>
          </w:p>
        </w:tc>
      </w:tr>
      <w:tr w14:paraId="2BD0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76531A20">
            <w:pPr>
              <w:adjustRightInd w:val="0"/>
              <w:snapToGrid w:val="0"/>
              <w:spacing w:before="124" w:beforeLines="40" w:after="124" w:afterLines="40" w:line="320" w:lineRule="exact"/>
              <w:jc w:val="center"/>
              <w:rPr>
                <w:rFonts w:ascii="宋体" w:hAnsi="宋体" w:eastAsia="宋体" w:cs="Times New Roman"/>
                <w:sz w:val="20"/>
                <w:highlight w:val="yellow"/>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5</w:t>
            </w:r>
          </w:p>
        </w:tc>
        <w:tc>
          <w:tcPr>
            <w:tcW w:w="1701" w:type="dxa"/>
            <w:shd w:val="clear" w:color="auto" w:fill="auto"/>
            <w:vAlign w:val="center"/>
          </w:tcPr>
          <w:p w14:paraId="2E805664">
            <w:pPr>
              <w:adjustRightInd w:val="0"/>
              <w:snapToGrid w:val="0"/>
              <w:spacing w:before="124" w:beforeLines="40" w:after="124" w:afterLines="40" w:line="320" w:lineRule="exact"/>
              <w:rPr>
                <w:rFonts w:ascii="宋体" w:hAnsi="宋体" w:eastAsia="宋体" w:cs="宋体"/>
                <w:sz w:val="20"/>
              </w:rPr>
            </w:pPr>
            <w:r>
              <w:rPr>
                <w:rFonts w:ascii="宋体" w:hAnsi="宋体" w:eastAsia="宋体"/>
                <w:sz w:val="20"/>
              </w:rPr>
              <w:t>智慧课堂</w:t>
            </w:r>
          </w:p>
        </w:tc>
        <w:tc>
          <w:tcPr>
            <w:tcW w:w="6237" w:type="dxa"/>
            <w:shd w:val="clear" w:color="auto" w:fill="auto"/>
            <w:vAlign w:val="center"/>
          </w:tcPr>
          <w:p w14:paraId="374FDF1E">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Times New Roman"/>
                <w:sz w:val="20"/>
                <w:szCs w:val="20"/>
                <w:highlight w:val="yellow"/>
              </w:rPr>
            </w:pPr>
            <w:r>
              <w:rPr>
                <w:rFonts w:hint="eastAsia" w:ascii="宋体" w:hAnsi="宋体" w:eastAsia="宋体"/>
                <w:sz w:val="20"/>
                <w:szCs w:val="20"/>
              </w:rPr>
              <w:t>智慧课堂，聚焦数字教育应用，通过智慧学习终端，服务师生“教、学、研、管”全场景，充分挖掘数据价值，辅助教师精准教学和学生个性化自主学习，实现教学模式创新和质量提升。围绕课前、课中、课后的全场景，以智助教，以智助学，实现教师高效备、精准教、科学管，学生个性学，打造核心素养视域下的新型教与学模式，助力师生共成长。</w:t>
            </w:r>
          </w:p>
        </w:tc>
      </w:tr>
      <w:tr w14:paraId="6961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15B6CEA0">
            <w:pPr>
              <w:adjustRightInd w:val="0"/>
              <w:snapToGrid w:val="0"/>
              <w:spacing w:before="124" w:beforeLines="40" w:after="124" w:afterLines="40" w:line="320" w:lineRule="exact"/>
              <w:jc w:val="center"/>
              <w:rPr>
                <w:rFonts w:ascii="宋体" w:hAnsi="宋体" w:eastAsia="宋体" w:cs="Times New Roman"/>
                <w:sz w:val="20"/>
                <w:highlight w:val="yellow"/>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6</w:t>
            </w:r>
          </w:p>
        </w:tc>
        <w:tc>
          <w:tcPr>
            <w:tcW w:w="1701" w:type="dxa"/>
            <w:shd w:val="clear" w:color="auto" w:fill="auto"/>
            <w:vAlign w:val="center"/>
          </w:tcPr>
          <w:p w14:paraId="754EECF3">
            <w:pPr>
              <w:adjustRightInd w:val="0"/>
              <w:snapToGrid w:val="0"/>
              <w:spacing w:before="124" w:beforeLines="40" w:after="124" w:afterLines="40" w:line="320" w:lineRule="exact"/>
              <w:rPr>
                <w:rFonts w:ascii="宋体" w:hAnsi="宋体" w:eastAsia="宋体"/>
                <w:sz w:val="20"/>
              </w:rPr>
            </w:pPr>
            <w:r>
              <w:rPr>
                <w:rFonts w:hint="eastAsia" w:ascii="宋体" w:hAnsi="宋体" w:eastAsia="宋体"/>
                <w:sz w:val="20"/>
              </w:rPr>
              <w:t>讯飞智慧窗</w:t>
            </w:r>
          </w:p>
        </w:tc>
        <w:tc>
          <w:tcPr>
            <w:tcW w:w="6237" w:type="dxa"/>
            <w:shd w:val="clear" w:color="auto" w:fill="auto"/>
            <w:vAlign w:val="center"/>
          </w:tcPr>
          <w:p w14:paraId="124A04DE">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Times New Roman"/>
                <w:sz w:val="20"/>
                <w:szCs w:val="20"/>
              </w:rPr>
            </w:pPr>
            <w:r>
              <w:rPr>
                <w:rFonts w:hint="eastAsia" w:ascii="宋体" w:hAnsi="宋体" w:eastAsia="宋体"/>
                <w:sz w:val="20"/>
                <w:szCs w:val="20"/>
              </w:rPr>
              <w:t>交互式电子白板与大模型相结合，全新定义AI教学平板/AI智慧黑板，让其从教学工具跃迁成为教师AI助手，高效智能服务课堂主阵地，通过全自然交互、高效备课、精准授课、启发式互动学习和课堂实录与分析，实现课前、课中、课后全场景教学闭环，让规模化因材施教成为可能，有效助力教学创新和教学质量提升。</w:t>
            </w:r>
          </w:p>
        </w:tc>
      </w:tr>
      <w:tr w14:paraId="6959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421666E5">
            <w:pPr>
              <w:adjustRightInd w:val="0"/>
              <w:snapToGrid w:val="0"/>
              <w:spacing w:before="124" w:beforeLines="40" w:after="124" w:afterLines="40" w:line="320" w:lineRule="exact"/>
              <w:jc w:val="center"/>
              <w:rPr>
                <w:rFonts w:ascii="宋体" w:hAnsi="宋体" w:eastAsia="宋体" w:cs="Times New Roman"/>
                <w:sz w:val="20"/>
                <w:highlight w:val="yellow"/>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7</w:t>
            </w:r>
          </w:p>
        </w:tc>
        <w:tc>
          <w:tcPr>
            <w:tcW w:w="1701" w:type="dxa"/>
            <w:shd w:val="clear" w:color="auto" w:fill="auto"/>
            <w:vAlign w:val="center"/>
          </w:tcPr>
          <w:p w14:paraId="41DADBE5">
            <w:pPr>
              <w:adjustRightInd w:val="0"/>
              <w:snapToGrid w:val="0"/>
              <w:spacing w:before="124" w:beforeLines="40" w:after="124" w:afterLines="40" w:line="320" w:lineRule="exact"/>
              <w:rPr>
                <w:rFonts w:ascii="宋体" w:hAnsi="宋体" w:eastAsia="宋体"/>
                <w:sz w:val="20"/>
              </w:rPr>
            </w:pPr>
            <w:r>
              <w:rPr>
                <w:rFonts w:hint="eastAsia" w:ascii="宋体" w:hAnsi="宋体" w:eastAsia="宋体"/>
                <w:sz w:val="20"/>
              </w:rPr>
              <w:t>星火教师助手</w:t>
            </w:r>
          </w:p>
        </w:tc>
        <w:tc>
          <w:tcPr>
            <w:tcW w:w="6237" w:type="dxa"/>
            <w:shd w:val="clear" w:color="auto" w:fill="auto"/>
            <w:vAlign w:val="center"/>
          </w:tcPr>
          <w:p w14:paraId="7590C8BD">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Times New Roman"/>
                <w:sz w:val="20"/>
                <w:szCs w:val="20"/>
              </w:rPr>
            </w:pPr>
            <w:r>
              <w:rPr>
                <w:rFonts w:hint="eastAsia" w:ascii="宋体" w:hAnsi="宋体" w:eastAsia="宋体"/>
                <w:sz w:val="20"/>
                <w:szCs w:val="20"/>
              </w:rPr>
              <w:t>搭载讯飞星火大模型，以“解放教师生产力，释放教师想象力”为目标，以对话式、生成式的自然交互，为教师智能生成科学系统的单元教学规划、创新引领的教学设计、贴合情境的教学课件等内容，提高教师备课效率，助力课堂教学新变革。</w:t>
            </w:r>
          </w:p>
        </w:tc>
      </w:tr>
      <w:tr w14:paraId="4C16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E469585">
            <w:pPr>
              <w:adjustRightInd w:val="0"/>
              <w:snapToGrid w:val="0"/>
              <w:spacing w:before="124" w:beforeLines="40" w:after="124" w:afterLines="40" w:line="320" w:lineRule="exact"/>
              <w:jc w:val="center"/>
              <w:rPr>
                <w:rFonts w:ascii="宋体" w:hAnsi="宋体" w:eastAsia="宋体" w:cs="Times New Roman"/>
                <w:sz w:val="20"/>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8</w:t>
            </w:r>
          </w:p>
        </w:tc>
        <w:tc>
          <w:tcPr>
            <w:tcW w:w="1701" w:type="dxa"/>
            <w:shd w:val="clear" w:color="auto" w:fill="auto"/>
            <w:vAlign w:val="center"/>
          </w:tcPr>
          <w:p w14:paraId="68781974">
            <w:pPr>
              <w:pStyle w:val="8"/>
              <w:adjustRightInd w:val="0"/>
              <w:snapToGrid w:val="0"/>
              <w:spacing w:before="124" w:beforeLines="40" w:after="124" w:afterLines="40" w:line="320" w:lineRule="exact"/>
              <w:ind w:left="0" w:firstLine="0" w:firstLineChars="0"/>
              <w:rPr>
                <w:rFonts w:ascii="宋体" w:hAnsi="宋体" w:eastAsia="宋体" w:cs="宋体"/>
                <w:b/>
                <w:bCs/>
                <w:color w:val="auto"/>
                <w:sz w:val="20"/>
              </w:rPr>
            </w:pPr>
            <w:r>
              <w:rPr>
                <w:rFonts w:hint="eastAsia" w:ascii="宋体" w:hAnsi="宋体" w:eastAsia="宋体" w:cs="宋体"/>
                <w:color w:val="auto"/>
                <w:sz w:val="20"/>
              </w:rPr>
              <w:t>Al教研平台</w:t>
            </w:r>
          </w:p>
        </w:tc>
        <w:tc>
          <w:tcPr>
            <w:tcW w:w="6237" w:type="dxa"/>
            <w:shd w:val="clear" w:color="auto" w:fill="auto"/>
            <w:vAlign w:val="center"/>
          </w:tcPr>
          <w:p w14:paraId="5B72CEC6">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围绕培训、教研、科研等核心场景，深度融合智能语音、大数据、音视频等技术，打造的跨区域、跨学科、系统化的区校一体化教研平台，实现区校常态化协同教研、精准培训、教师研修共同体、教研成果共享，推动教研工作从经验型教研走向实证与精准教研，促进教师专业发展。</w:t>
            </w:r>
          </w:p>
        </w:tc>
      </w:tr>
      <w:tr w14:paraId="0227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763E8FB">
            <w:pPr>
              <w:adjustRightInd w:val="0"/>
              <w:snapToGrid w:val="0"/>
              <w:spacing w:before="124" w:beforeLines="40" w:after="124" w:afterLines="40" w:line="320" w:lineRule="exact"/>
              <w:jc w:val="center"/>
              <w:rPr>
                <w:rFonts w:ascii="宋体" w:hAnsi="宋体" w:eastAsia="宋体" w:cs="Times New Roman"/>
                <w:sz w:val="20"/>
                <w:highlight w:val="yellow"/>
              </w:rPr>
            </w:pPr>
            <w:r>
              <w:rPr>
                <w:rFonts w:hint="eastAsia" w:ascii="宋体" w:hAnsi="宋体" w:eastAsia="宋体"/>
                <w:sz w:val="20"/>
              </w:rPr>
              <w:t>C</w:t>
            </w:r>
            <w:r>
              <w:rPr>
                <w:rFonts w:ascii="宋体" w:hAnsi="宋体" w:eastAsia="宋体"/>
                <w:sz w:val="20"/>
              </w:rPr>
              <w:t>0</w:t>
            </w:r>
            <w:r>
              <w:rPr>
                <w:rFonts w:hint="eastAsia" w:ascii="宋体" w:hAnsi="宋体" w:eastAsia="宋体"/>
                <w:sz w:val="20"/>
              </w:rPr>
              <w:t>9</w:t>
            </w:r>
          </w:p>
        </w:tc>
        <w:tc>
          <w:tcPr>
            <w:tcW w:w="1701" w:type="dxa"/>
            <w:shd w:val="clear" w:color="auto" w:fill="auto"/>
            <w:vAlign w:val="center"/>
          </w:tcPr>
          <w:p w14:paraId="388FEB8E">
            <w:pPr>
              <w:pStyle w:val="8"/>
              <w:adjustRightInd w:val="0"/>
              <w:snapToGrid w:val="0"/>
              <w:spacing w:before="124" w:beforeLines="40" w:after="124" w:afterLines="40" w:line="320" w:lineRule="exact"/>
              <w:ind w:left="0" w:firstLine="0" w:firstLineChars="0"/>
              <w:rPr>
                <w:rFonts w:ascii="宋体" w:hAnsi="宋体" w:eastAsia="宋体" w:cs="宋体"/>
                <w:color w:val="auto"/>
                <w:sz w:val="20"/>
              </w:rPr>
            </w:pPr>
            <w:r>
              <w:rPr>
                <w:rFonts w:hint="eastAsia" w:ascii="宋体" w:hAnsi="宋体" w:eastAsia="宋体" w:cs="宋体"/>
                <w:color w:val="auto"/>
                <w:sz w:val="20"/>
              </w:rPr>
              <w:t>教师全息画像</w:t>
            </w:r>
          </w:p>
        </w:tc>
        <w:tc>
          <w:tcPr>
            <w:tcW w:w="6237" w:type="dxa"/>
            <w:shd w:val="clear" w:color="auto" w:fill="auto"/>
            <w:vAlign w:val="center"/>
          </w:tcPr>
          <w:p w14:paraId="6C954248">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聚焦小初阶段的教师发展和管理，依托大数据、认知大模型、OCR等技术，通过智能归档教师成长数据、跟踪评价教师专业发展等功能，解决教师个人信息采集负担重、师资统筹管理难度大等问题，帮助区、校实现对教师的多元评价、精细化管理，促进教师队伍建设。</w:t>
            </w:r>
          </w:p>
        </w:tc>
      </w:tr>
      <w:tr w14:paraId="0BBA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447C697C">
            <w:pPr>
              <w:adjustRightInd w:val="0"/>
              <w:snapToGrid w:val="0"/>
              <w:spacing w:before="124" w:beforeLines="40" w:after="124" w:afterLines="40" w:line="320" w:lineRule="exact"/>
              <w:jc w:val="center"/>
              <w:rPr>
                <w:rFonts w:ascii="宋体" w:hAnsi="宋体" w:eastAsia="宋体" w:cs="Times New Roman"/>
                <w:sz w:val="20"/>
              </w:rPr>
            </w:pPr>
            <w:r>
              <w:rPr>
                <w:rFonts w:hint="eastAsia" w:ascii="宋体" w:hAnsi="宋体" w:eastAsia="宋体"/>
                <w:sz w:val="20"/>
              </w:rPr>
              <w:t>C1</w:t>
            </w:r>
            <w:r>
              <w:rPr>
                <w:rFonts w:ascii="宋体" w:hAnsi="宋体" w:eastAsia="宋体"/>
                <w:sz w:val="20"/>
              </w:rPr>
              <w:t>0</w:t>
            </w:r>
          </w:p>
        </w:tc>
        <w:tc>
          <w:tcPr>
            <w:tcW w:w="1701" w:type="dxa"/>
            <w:shd w:val="clear" w:color="auto" w:fill="auto"/>
            <w:vAlign w:val="center"/>
          </w:tcPr>
          <w:p w14:paraId="2CCEB62A">
            <w:pPr>
              <w:pStyle w:val="5"/>
              <w:shd w:val="clear" w:color="auto" w:fill="FFFFFF"/>
              <w:adjustRightInd w:val="0"/>
              <w:snapToGrid w:val="0"/>
              <w:spacing w:before="124" w:beforeLines="40" w:beforeAutospacing="0" w:after="124" w:afterLines="40" w:afterAutospacing="0" w:line="320" w:lineRule="exact"/>
              <w:rPr>
                <w:rFonts w:ascii="宋体" w:hAnsi="宋体" w:eastAsia="宋体" w:cs="宋体"/>
                <w:color w:val="000000"/>
                <w:sz w:val="20"/>
                <w:szCs w:val="20"/>
              </w:rPr>
            </w:pPr>
            <w:r>
              <w:rPr>
                <w:rFonts w:hint="eastAsia" w:ascii="宋体" w:hAnsi="宋体" w:eastAsia="宋体" w:cs="宋体"/>
                <w:color w:val="000000"/>
                <w:sz w:val="20"/>
                <w:szCs w:val="20"/>
              </w:rPr>
              <w:t>人工智能通识</w:t>
            </w:r>
          </w:p>
          <w:p w14:paraId="222E6017">
            <w:pPr>
              <w:pStyle w:val="5"/>
              <w:shd w:val="clear" w:color="auto" w:fill="FFFFFF"/>
              <w:adjustRightInd w:val="0"/>
              <w:snapToGrid w:val="0"/>
              <w:spacing w:before="124" w:beforeLines="40" w:beforeAutospacing="0" w:after="124" w:afterLines="40" w:afterAutospacing="0" w:line="320" w:lineRule="exact"/>
              <w:rPr>
                <w:rFonts w:ascii="宋体" w:hAnsi="宋体" w:eastAsia="宋体" w:cs="宋体"/>
                <w:iCs/>
                <w:sz w:val="20"/>
                <w:szCs w:val="20"/>
              </w:rPr>
            </w:pPr>
            <w:r>
              <w:rPr>
                <w:rFonts w:hint="eastAsia" w:ascii="宋体" w:hAnsi="宋体" w:eastAsia="宋体" w:cs="宋体"/>
                <w:color w:val="000000"/>
                <w:sz w:val="20"/>
                <w:szCs w:val="20"/>
              </w:rPr>
              <w:t>教育</w:t>
            </w:r>
          </w:p>
        </w:tc>
        <w:tc>
          <w:tcPr>
            <w:tcW w:w="6237" w:type="dxa"/>
            <w:shd w:val="clear" w:color="auto" w:fill="auto"/>
            <w:vAlign w:val="center"/>
          </w:tcPr>
          <w:p w14:paraId="56E66F20">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整合“教学平台、课程资源与教学硬件”，构建完善的人工智能教育体系，面向中小学推动人工智能通识教育的普及。该方案通过功能齐全的平台、轻量化的课程形式、科学完善的课程与实验体系，可缓解师资短缺等现实难题，全面提升师生在人工智能领域的“鉴赏力、理解力、应用力”，为人工智能时代培养具备核心素养的科技人才。</w:t>
            </w:r>
          </w:p>
        </w:tc>
      </w:tr>
      <w:tr w14:paraId="13A8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65B52B75">
            <w:pPr>
              <w:adjustRightInd w:val="0"/>
              <w:snapToGrid w:val="0"/>
              <w:spacing w:before="124" w:beforeLines="40" w:after="124" w:afterLines="40" w:line="320" w:lineRule="exact"/>
              <w:jc w:val="center"/>
              <w:rPr>
                <w:rFonts w:ascii="宋体" w:hAnsi="宋体" w:eastAsia="宋体" w:cs="Times New Roman"/>
                <w:sz w:val="20"/>
              </w:rPr>
            </w:pPr>
            <w:r>
              <w:rPr>
                <w:rFonts w:hint="eastAsia" w:ascii="宋体" w:hAnsi="宋体" w:eastAsia="宋体"/>
                <w:sz w:val="20"/>
              </w:rPr>
              <w:t>C11</w:t>
            </w:r>
          </w:p>
        </w:tc>
        <w:tc>
          <w:tcPr>
            <w:tcW w:w="1701" w:type="dxa"/>
            <w:shd w:val="clear" w:color="auto" w:fill="auto"/>
            <w:vAlign w:val="center"/>
          </w:tcPr>
          <w:p w14:paraId="13EEE637">
            <w:pPr>
              <w:pStyle w:val="5"/>
              <w:shd w:val="clear" w:color="auto" w:fill="FFFFFF"/>
              <w:adjustRightInd w:val="0"/>
              <w:snapToGrid w:val="0"/>
              <w:spacing w:before="124" w:beforeLines="40" w:beforeAutospacing="0" w:after="124" w:afterLines="40" w:afterAutospacing="0" w:line="320" w:lineRule="exact"/>
              <w:rPr>
                <w:rFonts w:ascii="宋体" w:hAnsi="宋体" w:eastAsia="宋体" w:cs="宋体"/>
                <w:iCs/>
                <w:sz w:val="20"/>
                <w:szCs w:val="20"/>
              </w:rPr>
            </w:pPr>
            <w:r>
              <w:rPr>
                <w:rFonts w:hint="eastAsia" w:ascii="宋体" w:hAnsi="宋体" w:eastAsia="宋体" w:cs="宋体"/>
                <w:color w:val="000000"/>
                <w:sz w:val="20"/>
                <w:szCs w:val="20"/>
              </w:rPr>
              <w:t>信息科技教育解决方案</w:t>
            </w:r>
          </w:p>
        </w:tc>
        <w:tc>
          <w:tcPr>
            <w:tcW w:w="6237" w:type="dxa"/>
            <w:shd w:val="clear" w:color="auto" w:fill="auto"/>
            <w:vAlign w:val="center"/>
          </w:tcPr>
          <w:p w14:paraId="29239D4E">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color w:val="000000"/>
                <w:sz w:val="20"/>
                <w:szCs w:val="20"/>
              </w:rPr>
              <w:t>以课程标准为纲领、实验教学为核心、星火认知大模型技术为支撑，聚焦“人工智能+”赋能教育新模式，旨在解决信息科技学科的教、学、评难题，助力学校开齐开好信息科技课程，为国家培养具备数字素养、创新能力的未来人才。</w:t>
            </w:r>
          </w:p>
        </w:tc>
      </w:tr>
      <w:tr w14:paraId="095D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EB69C49">
            <w:pPr>
              <w:adjustRightInd w:val="0"/>
              <w:snapToGrid w:val="0"/>
              <w:spacing w:before="124" w:beforeLines="40" w:after="124" w:afterLines="40" w:line="320" w:lineRule="exact"/>
              <w:jc w:val="center"/>
              <w:rPr>
                <w:rFonts w:ascii="宋体" w:hAnsi="宋体" w:eastAsia="宋体" w:cs="Times New Roman"/>
                <w:sz w:val="20"/>
              </w:rPr>
            </w:pPr>
            <w:r>
              <w:rPr>
                <w:rFonts w:hint="eastAsia" w:ascii="宋体" w:hAnsi="宋体" w:eastAsia="宋体"/>
                <w:sz w:val="20"/>
              </w:rPr>
              <w:t>C12</w:t>
            </w:r>
          </w:p>
        </w:tc>
        <w:tc>
          <w:tcPr>
            <w:tcW w:w="1701" w:type="dxa"/>
            <w:shd w:val="clear" w:color="auto" w:fill="auto"/>
            <w:vAlign w:val="center"/>
          </w:tcPr>
          <w:p w14:paraId="419C665B">
            <w:pPr>
              <w:pStyle w:val="8"/>
              <w:adjustRightInd w:val="0"/>
              <w:snapToGrid w:val="0"/>
              <w:spacing w:before="124" w:beforeLines="40" w:after="124" w:afterLines="40" w:line="320" w:lineRule="exact"/>
              <w:ind w:left="-63" w:leftChars="-30" w:firstLine="0" w:firstLineChars="0"/>
              <w:rPr>
                <w:rFonts w:ascii="宋体" w:hAnsi="宋体" w:eastAsia="宋体"/>
                <w:color w:val="000000"/>
                <w:sz w:val="20"/>
              </w:rPr>
            </w:pPr>
            <w:r>
              <w:rPr>
                <w:rFonts w:hint="eastAsia" w:ascii="宋体" w:hAnsi="宋体" w:eastAsia="宋体"/>
                <w:sz w:val="20"/>
              </w:rPr>
              <w:t>智慧体育</w:t>
            </w:r>
          </w:p>
        </w:tc>
        <w:tc>
          <w:tcPr>
            <w:tcW w:w="6237" w:type="dxa"/>
            <w:shd w:val="clear" w:color="auto" w:fill="auto"/>
            <w:vAlign w:val="center"/>
          </w:tcPr>
          <w:p w14:paraId="067414FF">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color w:val="000000"/>
                <w:sz w:val="20"/>
                <w:szCs w:val="20"/>
              </w:rPr>
            </w:pPr>
            <w:r>
              <w:rPr>
                <w:rFonts w:hint="eastAsia" w:ascii="宋体" w:hAnsi="宋体" w:eastAsia="宋体" w:cs="宋体"/>
                <w:color w:val="000000"/>
                <w:sz w:val="20"/>
                <w:szCs w:val="20"/>
              </w:rPr>
              <w:t>围绕“提升学生体质健康水平”的核心目标，打造智慧操场，覆盖六大应用场景，构建智慧体育新生态，贯穿学校体育教育全流程，实现“教、学、赛、练、测、考、评、管”一体化，解决体育教学运动密度不敢加、学练赛一体化实施难、区域学校体测和体育考试效率低、过程性量化评估难等问题，帮助学生了解自己的体质状态、实现健康成长，引导家长共同参与学生运动指导、习惯培养，促进学校体育数字化转型，服务体育强国战略。</w:t>
            </w:r>
          </w:p>
        </w:tc>
      </w:tr>
      <w:tr w14:paraId="3A96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A268E15">
            <w:pPr>
              <w:adjustRightInd w:val="0"/>
              <w:snapToGrid w:val="0"/>
              <w:spacing w:before="124" w:beforeLines="40" w:after="124" w:afterLines="40" w:line="320" w:lineRule="exact"/>
              <w:jc w:val="center"/>
              <w:rPr>
                <w:rFonts w:ascii="宋体" w:hAnsi="宋体" w:eastAsia="宋体" w:cs="Times New Roman"/>
                <w:sz w:val="20"/>
              </w:rPr>
            </w:pPr>
            <w:r>
              <w:rPr>
                <w:rFonts w:hint="eastAsia" w:ascii="宋体" w:hAnsi="宋体" w:eastAsia="宋体"/>
                <w:sz w:val="20"/>
              </w:rPr>
              <w:t>C13</w:t>
            </w:r>
          </w:p>
        </w:tc>
        <w:tc>
          <w:tcPr>
            <w:tcW w:w="1701" w:type="dxa"/>
            <w:shd w:val="clear" w:color="auto" w:fill="auto"/>
            <w:vAlign w:val="center"/>
          </w:tcPr>
          <w:p w14:paraId="0790EC40">
            <w:pPr>
              <w:pStyle w:val="8"/>
              <w:adjustRightInd w:val="0"/>
              <w:snapToGrid w:val="0"/>
              <w:spacing w:before="124" w:beforeLines="40" w:after="124" w:afterLines="40" w:line="320" w:lineRule="exact"/>
              <w:ind w:left="-63" w:leftChars="-30" w:firstLine="0" w:firstLineChars="0"/>
              <w:rPr>
                <w:rFonts w:ascii="宋体" w:hAnsi="宋体" w:eastAsia="宋体"/>
                <w:color w:val="auto"/>
                <w:sz w:val="20"/>
              </w:rPr>
            </w:pPr>
            <w:r>
              <w:rPr>
                <w:rFonts w:hint="eastAsia" w:ascii="宋体" w:hAnsi="宋体" w:eastAsia="宋体"/>
                <w:color w:val="auto"/>
                <w:sz w:val="20"/>
              </w:rPr>
              <w:t>智慧心育</w:t>
            </w:r>
          </w:p>
        </w:tc>
        <w:tc>
          <w:tcPr>
            <w:tcW w:w="6237" w:type="dxa"/>
            <w:shd w:val="clear" w:color="auto" w:fill="auto"/>
            <w:vAlign w:val="center"/>
          </w:tcPr>
          <w:p w14:paraId="24F94A52">
            <w:pPr>
              <w:pStyle w:val="5"/>
              <w:shd w:val="clear" w:color="auto" w:fill="FFFFFF"/>
              <w:adjustRightInd w:val="0"/>
              <w:snapToGrid w:val="0"/>
              <w:spacing w:before="124" w:beforeLines="40" w:beforeAutospacing="0" w:after="124" w:afterLines="40" w:afterAutospacing="0" w:line="300" w:lineRule="exact"/>
              <w:ind w:firstLine="400" w:firstLineChars="200"/>
              <w:rPr>
                <w:rFonts w:ascii="宋体" w:hAnsi="宋体" w:eastAsia="宋体" w:cs="宋体"/>
                <w:sz w:val="20"/>
                <w:szCs w:val="20"/>
              </w:rPr>
            </w:pPr>
            <w:r>
              <w:rPr>
                <w:rFonts w:hint="eastAsia" w:ascii="宋体" w:hAnsi="宋体" w:eastAsia="宋体" w:cs="宋体"/>
                <w:sz w:val="20"/>
                <w:szCs w:val="20"/>
              </w:rPr>
              <w:t>科大讯飞智慧心育是一款服务于中小学心理健康教育的整体解决方案。方案引入华中师范大学、华东师范大学等学校心理学最新研究成果，将定期心理普测与日常压力动态监测有机结合，首创AI多模态心理筛查及AI心理伙伴，显著提升筛查准确率及干预闭环率。萃取近百位行业专家和一线名师的咨询辅导、课程教学及家校共育经验，精准推送给学生、教师和家长，全过程、多角色地解决问题，帮助区域和学校实现心育工作效率、质量双提升。</w:t>
            </w:r>
          </w:p>
        </w:tc>
      </w:tr>
      <w:tr w14:paraId="237E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2CE41C5B">
            <w:pPr>
              <w:adjustRightInd w:val="0"/>
              <w:snapToGrid w:val="0"/>
              <w:spacing w:before="124" w:beforeLines="40" w:after="124" w:afterLines="40" w:line="320" w:lineRule="exact"/>
              <w:jc w:val="center"/>
              <w:rPr>
                <w:rFonts w:ascii="宋体" w:hAnsi="宋体" w:eastAsia="宋体" w:cs="Times New Roman"/>
                <w:sz w:val="20"/>
              </w:rPr>
            </w:pPr>
            <w:r>
              <w:rPr>
                <w:rFonts w:hint="eastAsia" w:ascii="宋体" w:hAnsi="宋体" w:eastAsia="宋体"/>
                <w:sz w:val="20"/>
              </w:rPr>
              <w:t>C14</w:t>
            </w:r>
          </w:p>
        </w:tc>
        <w:tc>
          <w:tcPr>
            <w:tcW w:w="1701" w:type="dxa"/>
            <w:shd w:val="clear" w:color="auto" w:fill="auto"/>
            <w:vAlign w:val="center"/>
          </w:tcPr>
          <w:p w14:paraId="4A516B07">
            <w:pPr>
              <w:adjustRightInd w:val="0"/>
              <w:snapToGrid w:val="0"/>
              <w:spacing w:before="124" w:beforeLines="40" w:after="124" w:afterLines="40" w:line="320" w:lineRule="exact"/>
              <w:rPr>
                <w:rFonts w:ascii="宋体" w:hAnsi="宋体" w:eastAsia="宋体" w:cs="Times New Roman"/>
                <w:iCs/>
                <w:sz w:val="18"/>
                <w:szCs w:val="18"/>
                <w:highlight w:val="yellow"/>
              </w:rPr>
            </w:pPr>
            <w:r>
              <w:rPr>
                <w:rFonts w:hint="eastAsia" w:ascii="宋体" w:hAnsi="宋体" w:eastAsia="宋体"/>
                <w:sz w:val="18"/>
                <w:szCs w:val="18"/>
              </w:rPr>
              <w:t>五育学生评价</w:t>
            </w:r>
          </w:p>
        </w:tc>
        <w:tc>
          <w:tcPr>
            <w:tcW w:w="6237" w:type="dxa"/>
            <w:shd w:val="clear" w:color="auto" w:fill="auto"/>
            <w:vAlign w:val="center"/>
          </w:tcPr>
          <w:p w14:paraId="4B70349F">
            <w:pPr>
              <w:pStyle w:val="5"/>
              <w:shd w:val="clear" w:color="auto" w:fill="FFFFFF"/>
              <w:adjustRightInd w:val="0"/>
              <w:snapToGrid w:val="0"/>
              <w:spacing w:before="124" w:beforeLines="40" w:beforeAutospacing="0" w:after="124" w:afterLines="40" w:afterAutospacing="0" w:line="300" w:lineRule="exact"/>
              <w:ind w:firstLine="360" w:firstLineChars="200"/>
              <w:rPr>
                <w:rFonts w:ascii="宋体" w:hAnsi="宋体" w:eastAsia="宋体" w:cs="宋体"/>
                <w:sz w:val="18"/>
                <w:szCs w:val="18"/>
                <w:highlight w:val="yellow"/>
              </w:rPr>
            </w:pPr>
            <w:r>
              <w:rPr>
                <w:rFonts w:hint="eastAsia" w:ascii="宋体" w:hAnsi="宋体" w:eastAsia="宋体" w:cs="宋体"/>
                <w:sz w:val="18"/>
                <w:szCs w:val="18"/>
              </w:rPr>
              <w:t>基于“育评融合”理念，科大讯飞五育学生评价解决方案利用人工智能、大数据、物联网等技术，自动、实时、安全地汇聚学生五育成长的各方面数据，并基于数百所学校的实践成果，构建了丰富优质的评价指标、校本活动库及面向区域主管部门、学校、 教师、学生等多层级的评价报告库。</w:t>
            </w:r>
          </w:p>
        </w:tc>
      </w:tr>
    </w:tbl>
    <w:p w14:paraId="32871685">
      <w:pPr>
        <w:rPr>
          <w:color w:val="0000FF"/>
        </w:rPr>
      </w:pPr>
    </w:p>
    <w:p w14:paraId="35980486">
      <w:pPr>
        <w:pStyle w:val="2"/>
      </w:pPr>
      <w:r>
        <w:rPr>
          <w:rFonts w:hint="eastAsia"/>
        </w:rPr>
        <w:t>四、课题申报说明</w:t>
      </w:r>
    </w:p>
    <w:p w14:paraId="2DBC2BA6">
      <w:pPr>
        <w:widowControl/>
        <w:snapToGrid w:val="0"/>
        <w:spacing w:line="480" w:lineRule="exact"/>
        <w:ind w:firstLine="480" w:firstLineChars="200"/>
        <w:rPr>
          <w:rFonts w:ascii="宋体" w:hAnsi="宋体" w:eastAsia="宋体"/>
          <w:kern w:val="0"/>
          <w:sz w:val="24"/>
          <w:szCs w:val="24"/>
        </w:rPr>
      </w:pPr>
      <w:r>
        <w:rPr>
          <w:rFonts w:hint="eastAsia" w:ascii="宋体" w:hAnsi="宋体" w:eastAsia="宋体"/>
          <w:kern w:val="0"/>
          <w:sz w:val="24"/>
          <w:szCs w:val="24"/>
        </w:rPr>
        <w:t>1.申请人须仔细阅读申请指南，按照指南详细填写申请书，填写不合要求的课题会按照格式不符合要求处理。</w:t>
      </w:r>
    </w:p>
    <w:p w14:paraId="26E33CF9">
      <w:pPr>
        <w:snapToGrid w:val="0"/>
        <w:spacing w:line="480" w:lineRule="exact"/>
        <w:ind w:firstLine="480" w:firstLineChars="200"/>
        <w:rPr>
          <w:rFonts w:ascii="宋体" w:hAnsi="宋体" w:eastAsia="宋体" w:cs="Times New Roman"/>
          <w:iCs/>
          <w:kern w:val="0"/>
          <w:sz w:val="24"/>
          <w:szCs w:val="24"/>
        </w:rPr>
      </w:pPr>
      <w:r>
        <w:rPr>
          <w:rFonts w:hint="eastAsia" w:ascii="宋体" w:hAnsi="宋体" w:eastAsia="宋体" w:cs="Times New Roman"/>
          <w:iCs/>
          <w:kern w:val="0"/>
          <w:sz w:val="24"/>
          <w:szCs w:val="24"/>
        </w:rPr>
        <w:t>2.请各课题申请人按要求填写申请书（申请书中手机和邮箱必须填写），加盖公章及签字后扫描上传至：</w:t>
      </w:r>
      <w:r>
        <w:rPr>
          <w:rFonts w:ascii="Times New Roman" w:hAnsi="Times New Roman" w:eastAsia="宋体" w:cs="Times New Roman"/>
          <w:bCs/>
          <w:iCs/>
          <w:kern w:val="0"/>
          <w:sz w:val="24"/>
          <w:szCs w:val="24"/>
        </w:rPr>
        <w:t>http</w:t>
      </w:r>
      <w:r>
        <w:rPr>
          <w:rFonts w:hint="eastAsia" w:ascii="Times New Roman" w:hAnsi="Times New Roman" w:eastAsia="宋体" w:cs="Times New Roman"/>
          <w:bCs/>
          <w:iCs/>
          <w:kern w:val="0"/>
          <w:sz w:val="24"/>
          <w:szCs w:val="24"/>
        </w:rPr>
        <w:t>s</w:t>
      </w:r>
      <w:r>
        <w:rPr>
          <w:rFonts w:ascii="Times New Roman" w:hAnsi="Times New Roman" w:eastAsia="宋体" w:cs="Times New Roman"/>
          <w:bCs/>
          <w:iCs/>
          <w:kern w:val="0"/>
          <w:sz w:val="24"/>
          <w:szCs w:val="24"/>
        </w:rPr>
        <w:t>://cxjj.cutech.edu.cn</w:t>
      </w:r>
      <w:r>
        <w:rPr>
          <w:rFonts w:hint="eastAsia" w:ascii="宋体" w:hAnsi="宋体" w:eastAsia="宋体" w:cs="Times New Roman"/>
          <w:bCs/>
          <w:iCs/>
          <w:kern w:val="0"/>
          <w:sz w:val="24"/>
          <w:szCs w:val="24"/>
        </w:rPr>
        <w:t>；</w:t>
      </w:r>
      <w:r>
        <w:rPr>
          <w:rFonts w:hint="eastAsia" w:ascii="宋体" w:hAnsi="宋体" w:eastAsia="宋体" w:cs="Times New Roman"/>
          <w:iCs/>
          <w:kern w:val="0"/>
          <w:sz w:val="24"/>
          <w:szCs w:val="24"/>
        </w:rPr>
        <w:t>为方便评审，申请书扫描件请按以下命名规则命名：学校名称+申请人姓名。</w:t>
      </w:r>
    </w:p>
    <w:p w14:paraId="7B555508">
      <w:pPr>
        <w:snapToGrid w:val="0"/>
        <w:spacing w:line="480" w:lineRule="exact"/>
        <w:ind w:firstLine="480" w:firstLineChars="200"/>
        <w:rPr>
          <w:rFonts w:ascii="宋体" w:hAnsi="宋体" w:eastAsia="宋体" w:cs="Times New Roman"/>
          <w:iCs/>
          <w:kern w:val="0"/>
          <w:sz w:val="24"/>
          <w:szCs w:val="24"/>
        </w:rPr>
      </w:pPr>
      <w:r>
        <w:rPr>
          <w:rFonts w:hint="eastAsia" w:ascii="宋体" w:hAnsi="宋体" w:eastAsia="宋体" w:cs="Times New Roman"/>
          <w:iCs/>
          <w:kern w:val="0"/>
          <w:sz w:val="24"/>
          <w:szCs w:val="24"/>
        </w:rPr>
        <w:t>3</w:t>
      </w:r>
      <w:r>
        <w:rPr>
          <w:rFonts w:ascii="宋体" w:hAnsi="宋体" w:eastAsia="宋体" w:cs="Times New Roman"/>
          <w:iCs/>
          <w:kern w:val="0"/>
          <w:sz w:val="24"/>
          <w:szCs w:val="24"/>
        </w:rPr>
        <w:t>.</w:t>
      </w:r>
      <w:r>
        <w:rPr>
          <w:rFonts w:hint="eastAsia" w:ascii="宋体" w:hAnsi="宋体" w:eastAsia="宋体" w:cs="Times New Roman"/>
          <w:iCs/>
          <w:kern w:val="0"/>
          <w:sz w:val="24"/>
          <w:szCs w:val="24"/>
        </w:rPr>
        <w:t>申请书书面材料一份，邮寄至：北京市海淀区中关村大街35号80</w:t>
      </w:r>
      <w:r>
        <w:rPr>
          <w:rFonts w:ascii="宋体" w:hAnsi="宋体" w:eastAsia="宋体" w:cs="Times New Roman"/>
          <w:iCs/>
          <w:kern w:val="0"/>
          <w:sz w:val="24"/>
          <w:szCs w:val="24"/>
        </w:rPr>
        <w:t>3</w:t>
      </w:r>
      <w:r>
        <w:rPr>
          <w:rFonts w:hint="eastAsia" w:ascii="宋体" w:hAnsi="宋体" w:eastAsia="宋体" w:cs="Times New Roman"/>
          <w:iCs/>
          <w:kern w:val="0"/>
          <w:sz w:val="24"/>
          <w:szCs w:val="24"/>
        </w:rPr>
        <w:t>室，教育部高等学校科学研究发展中心信息化研究发展处。</w:t>
      </w:r>
    </w:p>
    <w:p w14:paraId="68D5B023">
      <w:pPr>
        <w:pStyle w:val="2"/>
        <w:ind w:firstLine="480"/>
        <w:rPr>
          <w:b w:val="0"/>
          <w:sz w:val="24"/>
          <w:szCs w:val="24"/>
        </w:rPr>
      </w:pPr>
      <w:r>
        <w:rPr>
          <w:b w:val="0"/>
          <w:sz w:val="24"/>
          <w:szCs w:val="24"/>
        </w:rPr>
        <w:t>4</w:t>
      </w:r>
      <w:r>
        <w:rPr>
          <w:rFonts w:hint="eastAsia"/>
          <w:b w:val="0"/>
          <w:sz w:val="24"/>
          <w:szCs w:val="24"/>
        </w:rPr>
        <w:t>.申请截止时间为2025年12月15日。</w:t>
      </w:r>
    </w:p>
    <w:p w14:paraId="0BACC3A3">
      <w:pPr>
        <w:pStyle w:val="2"/>
        <w:ind w:firstLine="480"/>
        <w:rPr>
          <w:b w:val="0"/>
          <w:sz w:val="24"/>
          <w:szCs w:val="24"/>
        </w:rPr>
      </w:pPr>
      <w:r>
        <w:rPr>
          <w:b w:val="0"/>
          <w:sz w:val="24"/>
          <w:szCs w:val="24"/>
        </w:rPr>
        <w:t>5</w:t>
      </w:r>
      <w:r>
        <w:rPr>
          <w:rFonts w:hint="eastAsia"/>
          <w:b w:val="0"/>
          <w:sz w:val="24"/>
          <w:szCs w:val="24"/>
        </w:rPr>
        <w:t>.课题的计划执行时间为2026年4</w:t>
      </w:r>
      <w:r>
        <w:rPr>
          <w:b w:val="0"/>
          <w:sz w:val="24"/>
          <w:szCs w:val="24"/>
        </w:rPr>
        <w:t>月</w:t>
      </w:r>
      <w:r>
        <w:rPr>
          <w:rFonts w:hint="eastAsia"/>
          <w:b w:val="0"/>
          <w:sz w:val="24"/>
          <w:szCs w:val="24"/>
        </w:rPr>
        <w:t>1日～2027年3月31日，可根据课题复杂程度适度延长执行周期，最长不超过两年。</w:t>
      </w:r>
    </w:p>
    <w:p w14:paraId="71E4BE6E">
      <w:pPr>
        <w:pStyle w:val="2"/>
        <w:ind w:firstLine="480"/>
        <w:rPr>
          <w:b w:val="0"/>
          <w:sz w:val="24"/>
          <w:szCs w:val="24"/>
        </w:rPr>
      </w:pPr>
      <w:r>
        <w:rPr>
          <w:b w:val="0"/>
          <w:color w:val="auto"/>
          <w:sz w:val="24"/>
          <w:szCs w:val="24"/>
        </w:rPr>
        <w:t>6</w:t>
      </w:r>
      <w:r>
        <w:rPr>
          <w:rFonts w:hint="eastAsia"/>
          <w:b w:val="0"/>
          <w:color w:val="auto"/>
          <w:sz w:val="24"/>
          <w:szCs w:val="24"/>
        </w:rPr>
        <w:t>.</w:t>
      </w:r>
      <w:r>
        <w:rPr>
          <w:rFonts w:hint="eastAsia"/>
          <w:b w:val="0"/>
          <w:sz w:val="24"/>
          <w:szCs w:val="24"/>
        </w:rPr>
        <w:t>每位申报人限报一项课题。</w:t>
      </w:r>
    </w:p>
    <w:p w14:paraId="6076FCFF">
      <w:pPr>
        <w:pStyle w:val="2"/>
        <w:ind w:firstLine="480"/>
        <w:rPr>
          <w:b w:val="0"/>
          <w:sz w:val="24"/>
          <w:szCs w:val="24"/>
        </w:rPr>
      </w:pPr>
      <w:r>
        <w:rPr>
          <w:b w:val="0"/>
          <w:sz w:val="24"/>
          <w:szCs w:val="24"/>
        </w:rPr>
        <w:t>7.</w:t>
      </w:r>
      <w:r>
        <w:rPr>
          <w:rFonts w:hint="eastAsia"/>
          <w:b w:val="0"/>
          <w:sz w:val="24"/>
          <w:szCs w:val="24"/>
        </w:rPr>
        <w:t>课题选题列表上的选题方向都不限定课题数量，但是如果存在内容重复的相似课题，专家组将根据课题组技术积累、课题方案、课题支撑条件等要素择优选择立项课题。</w:t>
      </w:r>
    </w:p>
    <w:p w14:paraId="04CCD0D0">
      <w:pPr>
        <w:pStyle w:val="2"/>
        <w:ind w:firstLine="480"/>
        <w:rPr>
          <w:b w:val="0"/>
          <w:sz w:val="24"/>
          <w:szCs w:val="24"/>
        </w:rPr>
      </w:pPr>
      <w:r>
        <w:rPr>
          <w:b w:val="0"/>
          <w:sz w:val="24"/>
          <w:szCs w:val="24"/>
        </w:rPr>
        <w:t>8</w:t>
      </w:r>
      <w:r>
        <w:rPr>
          <w:rFonts w:hint="eastAsia"/>
          <w:b w:val="0"/>
          <w:sz w:val="24"/>
          <w:szCs w:val="24"/>
        </w:rPr>
        <w:t>.如果以联合课题组的形式申请课题，需要列明不同学校单位的课题任务。</w:t>
      </w:r>
    </w:p>
    <w:p w14:paraId="754117DE">
      <w:pPr>
        <w:pStyle w:val="2"/>
        <w:ind w:firstLine="480"/>
        <w:rPr>
          <w:b w:val="0"/>
          <w:sz w:val="24"/>
          <w:szCs w:val="24"/>
        </w:rPr>
      </w:pPr>
      <w:r>
        <w:rPr>
          <w:b w:val="0"/>
          <w:sz w:val="24"/>
          <w:szCs w:val="24"/>
        </w:rPr>
        <w:t>9</w:t>
      </w:r>
      <w:r>
        <w:rPr>
          <w:rFonts w:hint="eastAsia"/>
          <w:b w:val="0"/>
          <w:sz w:val="24"/>
          <w:szCs w:val="24"/>
        </w:rPr>
        <w:t>.课题申请人无需向支持企业额外购买配套设备或软件。</w:t>
      </w:r>
    </w:p>
    <w:p w14:paraId="3F4A83A3">
      <w:pPr>
        <w:spacing w:line="500" w:lineRule="exact"/>
        <w:ind w:firstLine="420" w:firstLineChars="200"/>
        <w:rPr>
          <w:color w:val="0000FF"/>
        </w:rPr>
      </w:pPr>
    </w:p>
    <w:p w14:paraId="5D190818">
      <w:pPr>
        <w:pStyle w:val="2"/>
        <w:spacing w:line="500" w:lineRule="exact"/>
      </w:pPr>
      <w:r>
        <w:rPr>
          <w:rFonts w:hint="eastAsia"/>
        </w:rPr>
        <w:t>五、联系人及联系方式</w:t>
      </w:r>
    </w:p>
    <w:p w14:paraId="389D4FBF">
      <w:pPr>
        <w:snapToGrid w:val="0"/>
        <w:spacing w:line="500" w:lineRule="exact"/>
        <w:ind w:firstLine="482" w:firstLineChars="200"/>
        <w:rPr>
          <w:rFonts w:ascii="宋体" w:hAnsi="宋体" w:eastAsia="宋体"/>
          <w:sz w:val="24"/>
          <w:szCs w:val="28"/>
        </w:rPr>
      </w:pPr>
      <w:r>
        <w:rPr>
          <w:rFonts w:hint="eastAsia" w:ascii="宋体" w:hAnsi="宋体" w:eastAsia="宋体"/>
          <w:b/>
          <w:sz w:val="24"/>
          <w:szCs w:val="28"/>
        </w:rPr>
        <w:t>教育部高等学校科学研究发展中心联系人</w:t>
      </w:r>
      <w:r>
        <w:rPr>
          <w:rFonts w:hint="eastAsia" w:ascii="宋体" w:hAnsi="宋体" w:eastAsia="宋体"/>
          <w:sz w:val="24"/>
          <w:szCs w:val="28"/>
        </w:rPr>
        <w:t>：</w:t>
      </w:r>
    </w:p>
    <w:p w14:paraId="471B040B">
      <w:pPr>
        <w:snapToGrid w:val="0"/>
        <w:spacing w:line="500" w:lineRule="exact"/>
        <w:ind w:firstLine="480" w:firstLineChars="200"/>
        <w:rPr>
          <w:rFonts w:ascii="宋体" w:hAnsi="宋体" w:eastAsia="宋体"/>
          <w:color w:val="333333"/>
          <w:sz w:val="24"/>
          <w:szCs w:val="24"/>
          <w:shd w:val="clear" w:color="auto" w:fill="FFFFFF"/>
        </w:rPr>
      </w:pPr>
      <w:r>
        <w:rPr>
          <w:rFonts w:hint="eastAsia" w:ascii="宋体" w:hAnsi="宋体" w:eastAsia="宋体"/>
          <w:sz w:val="24"/>
          <w:szCs w:val="28"/>
        </w:rPr>
        <w:t xml:space="preserve">张 </w:t>
      </w:r>
      <w:r>
        <w:rPr>
          <w:rFonts w:ascii="宋体" w:hAnsi="宋体" w:eastAsia="宋体"/>
          <w:sz w:val="24"/>
          <w:szCs w:val="28"/>
        </w:rPr>
        <w:t xml:space="preserve"> </w:t>
      </w:r>
      <w:r>
        <w:rPr>
          <w:rFonts w:hint="eastAsia" w:ascii="宋体" w:hAnsi="宋体" w:eastAsia="宋体"/>
          <w:sz w:val="24"/>
          <w:szCs w:val="28"/>
        </w:rPr>
        <w:t xml:space="preserve">杰   </w:t>
      </w:r>
      <w:r>
        <w:rPr>
          <w:rFonts w:ascii="宋体" w:hAnsi="宋体" w:eastAsia="宋体"/>
          <w:sz w:val="24"/>
          <w:szCs w:val="28"/>
        </w:rPr>
        <w:t xml:space="preserve">     </w:t>
      </w:r>
      <w:r>
        <w:rPr>
          <w:rFonts w:hint="eastAsia" w:ascii="宋体" w:hAnsi="宋体" w:eastAsia="宋体"/>
          <w:sz w:val="24"/>
          <w:szCs w:val="28"/>
        </w:rPr>
        <w:t xml:space="preserve"> 电话：</w:t>
      </w:r>
      <w:r>
        <w:rPr>
          <w:rFonts w:hint="eastAsia" w:ascii="宋体" w:hAnsi="宋体" w:eastAsia="宋体"/>
          <w:color w:val="333333"/>
          <w:sz w:val="24"/>
          <w:szCs w:val="24"/>
          <w:shd w:val="clear" w:color="auto" w:fill="FFFFFF"/>
        </w:rPr>
        <w:t>010-62514689</w:t>
      </w:r>
    </w:p>
    <w:p w14:paraId="6678AD6C">
      <w:pPr>
        <w:snapToGrid w:val="0"/>
        <w:spacing w:line="500" w:lineRule="exact"/>
        <w:ind w:firstLine="482" w:firstLineChars="200"/>
        <w:rPr>
          <w:rFonts w:ascii="宋体" w:hAnsi="宋体" w:eastAsia="宋体"/>
          <w:sz w:val="24"/>
          <w:szCs w:val="28"/>
        </w:rPr>
      </w:pPr>
      <w:r>
        <w:rPr>
          <w:rFonts w:hint="eastAsia" w:ascii="宋体" w:hAnsi="宋体" w:eastAsia="宋体"/>
          <w:b/>
          <w:sz w:val="24"/>
          <w:szCs w:val="28"/>
        </w:rPr>
        <w:t>科大讯飞股份有限公司联系人：</w:t>
      </w:r>
    </w:p>
    <w:p w14:paraId="5E400868">
      <w:pPr>
        <w:snapToGrid w:val="0"/>
        <w:spacing w:line="500" w:lineRule="exact"/>
        <w:ind w:firstLine="480" w:firstLineChars="200"/>
        <w:rPr>
          <w:rFonts w:ascii="宋体" w:hAnsi="宋体" w:eastAsia="宋体"/>
          <w:sz w:val="24"/>
          <w:szCs w:val="28"/>
        </w:rPr>
      </w:pPr>
      <w:r>
        <w:rPr>
          <w:rFonts w:ascii="宋体" w:hAnsi="宋体" w:eastAsia="宋体"/>
          <w:sz w:val="24"/>
          <w:szCs w:val="28"/>
        </w:rPr>
        <w:t xml:space="preserve">1. </w:t>
      </w:r>
      <w:r>
        <w:rPr>
          <w:rFonts w:hint="eastAsia" w:ascii="宋体" w:hAnsi="宋体" w:eastAsia="宋体"/>
          <w:sz w:val="24"/>
          <w:szCs w:val="28"/>
        </w:rPr>
        <w:t>A01-A04方向：</w:t>
      </w:r>
    </w:p>
    <w:p w14:paraId="3F023644">
      <w:pPr>
        <w:snapToGrid w:val="0"/>
        <w:spacing w:line="500" w:lineRule="exact"/>
        <w:ind w:firstLine="480" w:firstLineChars="200"/>
        <w:rPr>
          <w:rFonts w:ascii="宋体" w:hAnsi="宋体" w:eastAsia="宋体"/>
          <w:color w:val="333333"/>
          <w:sz w:val="24"/>
          <w:szCs w:val="24"/>
          <w:shd w:val="clear" w:color="auto" w:fill="FFFFFF"/>
        </w:rPr>
      </w:pPr>
      <w:r>
        <w:rPr>
          <w:rFonts w:hint="eastAsia" w:ascii="宋体" w:hAnsi="宋体" w:eastAsia="宋体"/>
          <w:sz w:val="24"/>
          <w:szCs w:val="28"/>
        </w:rPr>
        <w:t xml:space="preserve">姬润果  </w:t>
      </w:r>
      <w:r>
        <w:rPr>
          <w:rFonts w:ascii="宋体" w:hAnsi="宋体" w:eastAsia="宋体"/>
          <w:sz w:val="24"/>
          <w:szCs w:val="28"/>
        </w:rPr>
        <w:t xml:space="preserve">       </w:t>
      </w:r>
      <w:r>
        <w:rPr>
          <w:rFonts w:hint="eastAsia" w:ascii="宋体" w:hAnsi="宋体" w:eastAsia="宋体"/>
          <w:sz w:val="24"/>
          <w:szCs w:val="28"/>
        </w:rPr>
        <w:t>电话：</w:t>
      </w:r>
      <w:r>
        <w:rPr>
          <w:rFonts w:hint="eastAsia" w:ascii="宋体" w:hAnsi="宋体" w:eastAsia="宋体"/>
          <w:color w:val="333333"/>
          <w:sz w:val="24"/>
          <w:szCs w:val="24"/>
          <w:shd w:val="clear" w:color="auto" w:fill="FFFFFF"/>
        </w:rPr>
        <w:t xml:space="preserve">010-83057669； </w:t>
      </w:r>
      <w:r>
        <w:rPr>
          <w:rFonts w:ascii="宋体" w:hAnsi="宋体" w:eastAsia="宋体"/>
          <w:color w:val="333333"/>
          <w:sz w:val="24"/>
          <w:szCs w:val="24"/>
          <w:shd w:val="clear" w:color="auto" w:fill="FFFFFF"/>
        </w:rPr>
        <w:t xml:space="preserve"> </w:t>
      </w:r>
      <w:r>
        <w:rPr>
          <w:rFonts w:ascii="宋体" w:hAnsi="宋体" w:eastAsia="宋体"/>
          <w:sz w:val="24"/>
          <w:szCs w:val="28"/>
        </w:rPr>
        <w:t>邮箱：</w:t>
      </w:r>
      <w:r>
        <w:rPr>
          <w:rFonts w:hint="eastAsia" w:ascii="宋体" w:hAnsi="宋体" w:eastAsia="宋体"/>
          <w:color w:val="333333"/>
          <w:sz w:val="24"/>
          <w:szCs w:val="24"/>
          <w:shd w:val="clear" w:color="auto" w:fill="FFFFFF"/>
        </w:rPr>
        <w:t>r</w:t>
      </w:r>
      <w:r>
        <w:rPr>
          <w:rFonts w:ascii="宋体" w:hAnsi="宋体" w:eastAsia="宋体"/>
          <w:color w:val="333333"/>
          <w:sz w:val="24"/>
          <w:szCs w:val="24"/>
          <w:shd w:val="clear" w:color="auto" w:fill="FFFFFF"/>
        </w:rPr>
        <w:t>gji2@iflytek.com</w:t>
      </w:r>
    </w:p>
    <w:p w14:paraId="5AAC1348">
      <w:pPr>
        <w:snapToGrid w:val="0"/>
        <w:spacing w:line="500" w:lineRule="exact"/>
        <w:ind w:firstLine="480" w:firstLineChars="200"/>
        <w:rPr>
          <w:rFonts w:ascii="宋体" w:hAnsi="宋体" w:eastAsia="宋体"/>
          <w:sz w:val="24"/>
          <w:szCs w:val="28"/>
        </w:rPr>
      </w:pPr>
      <w:r>
        <w:rPr>
          <w:rFonts w:hint="eastAsia" w:ascii="宋体" w:hAnsi="宋体" w:eastAsia="宋体"/>
          <w:sz w:val="24"/>
          <w:szCs w:val="28"/>
        </w:rPr>
        <w:t>王生波         电话：</w:t>
      </w:r>
      <w:r>
        <w:rPr>
          <w:rFonts w:ascii="宋体" w:hAnsi="宋体" w:eastAsia="宋体"/>
          <w:color w:val="333333"/>
          <w:sz w:val="24"/>
          <w:szCs w:val="24"/>
          <w:shd w:val="clear" w:color="auto" w:fill="FFFFFF"/>
        </w:rPr>
        <w:t>17354347252</w:t>
      </w:r>
      <w:r>
        <w:rPr>
          <w:rFonts w:hint="eastAsia" w:ascii="宋体" w:hAnsi="宋体" w:eastAsia="宋体"/>
          <w:color w:val="333333"/>
          <w:sz w:val="24"/>
          <w:szCs w:val="24"/>
          <w:shd w:val="clear" w:color="auto" w:fill="FFFFFF"/>
        </w:rPr>
        <w:t xml:space="preserve">； </w:t>
      </w:r>
      <w:r>
        <w:rPr>
          <w:rFonts w:ascii="宋体" w:hAnsi="宋体" w:eastAsia="宋体"/>
          <w:color w:val="333333"/>
          <w:sz w:val="24"/>
          <w:szCs w:val="24"/>
          <w:shd w:val="clear" w:color="auto" w:fill="FFFFFF"/>
        </w:rPr>
        <w:t xml:space="preserve">  </w:t>
      </w:r>
      <w:r>
        <w:rPr>
          <w:rFonts w:hint="eastAsia" w:ascii="宋体" w:hAnsi="宋体" w:eastAsia="宋体"/>
          <w:sz w:val="24"/>
          <w:szCs w:val="28"/>
        </w:rPr>
        <w:t>邮箱：</w:t>
      </w:r>
      <w:r>
        <w:rPr>
          <w:rFonts w:hint="eastAsia" w:ascii="宋体" w:hAnsi="宋体" w:eastAsia="宋体"/>
          <w:color w:val="333333"/>
          <w:sz w:val="24"/>
          <w:szCs w:val="24"/>
          <w:shd w:val="clear" w:color="auto" w:fill="FFFFFF"/>
        </w:rPr>
        <w:t>sbwang4@iflytek.com</w:t>
      </w:r>
    </w:p>
    <w:p w14:paraId="56C6DDD6">
      <w:pPr>
        <w:snapToGrid w:val="0"/>
        <w:spacing w:line="500" w:lineRule="exact"/>
        <w:ind w:firstLine="480" w:firstLineChars="200"/>
        <w:rPr>
          <w:rFonts w:ascii="宋体" w:hAnsi="宋体" w:eastAsia="宋体"/>
          <w:sz w:val="24"/>
          <w:szCs w:val="28"/>
        </w:rPr>
      </w:pPr>
      <w:r>
        <w:rPr>
          <w:rFonts w:ascii="宋体" w:hAnsi="宋体" w:eastAsia="宋体"/>
          <w:sz w:val="24"/>
          <w:szCs w:val="28"/>
        </w:rPr>
        <w:t xml:space="preserve">2. </w:t>
      </w:r>
      <w:r>
        <w:rPr>
          <w:rFonts w:hint="eastAsia" w:ascii="宋体" w:hAnsi="宋体" w:eastAsia="宋体"/>
          <w:sz w:val="24"/>
          <w:szCs w:val="28"/>
        </w:rPr>
        <w:t>A05方向：</w:t>
      </w:r>
    </w:p>
    <w:p w14:paraId="2659E549">
      <w:pPr>
        <w:widowControl/>
        <w:spacing w:line="500" w:lineRule="exact"/>
        <w:ind w:firstLine="480" w:firstLineChars="200"/>
        <w:jc w:val="left"/>
        <w:rPr>
          <w:rFonts w:ascii="宋体" w:hAnsi="宋体" w:eastAsia="宋体"/>
          <w:color w:val="333333"/>
          <w:sz w:val="24"/>
          <w:szCs w:val="24"/>
          <w:shd w:val="clear" w:color="auto" w:fill="FFFFFF"/>
        </w:rPr>
      </w:pPr>
      <w:r>
        <w:rPr>
          <w:rFonts w:hint="eastAsia" w:ascii="宋体" w:hAnsi="宋体" w:eastAsia="宋体"/>
          <w:sz w:val="24"/>
          <w:szCs w:val="28"/>
        </w:rPr>
        <w:t>陈亮           电话：</w:t>
      </w:r>
      <w:r>
        <w:rPr>
          <w:rFonts w:hint="eastAsia" w:ascii="宋体" w:hAnsi="宋体" w:eastAsia="宋体"/>
          <w:color w:val="333333"/>
          <w:sz w:val="24"/>
          <w:szCs w:val="24"/>
          <w:shd w:val="clear" w:color="auto" w:fill="FFFFFF"/>
        </w:rPr>
        <w:t xml:space="preserve">15656079955； </w:t>
      </w:r>
      <w:r>
        <w:rPr>
          <w:rFonts w:ascii="宋体" w:hAnsi="宋体" w:eastAsia="宋体"/>
          <w:color w:val="333333"/>
          <w:sz w:val="24"/>
          <w:szCs w:val="24"/>
          <w:shd w:val="clear" w:color="auto" w:fill="FFFFFF"/>
        </w:rPr>
        <w:t xml:space="preserve">  </w:t>
      </w:r>
      <w:r>
        <w:rPr>
          <w:rFonts w:hint="eastAsia" w:ascii="宋体" w:hAnsi="宋体" w:eastAsia="宋体"/>
          <w:sz w:val="24"/>
          <w:szCs w:val="28"/>
        </w:rPr>
        <w:t>邮箱：</w:t>
      </w:r>
      <w:r>
        <w:rPr>
          <w:rFonts w:hint="eastAsia" w:ascii="宋体" w:hAnsi="宋体" w:eastAsia="宋体"/>
          <w:color w:val="333333"/>
          <w:sz w:val="24"/>
          <w:szCs w:val="24"/>
          <w:shd w:val="clear" w:color="auto" w:fill="FFFFFF"/>
        </w:rPr>
        <w:t>liangchen29@iflytek.com</w:t>
      </w:r>
    </w:p>
    <w:p w14:paraId="7A810596">
      <w:pPr>
        <w:snapToGrid w:val="0"/>
        <w:spacing w:line="500" w:lineRule="exact"/>
        <w:ind w:firstLine="480" w:firstLineChars="200"/>
        <w:rPr>
          <w:rFonts w:ascii="宋体" w:hAnsi="宋体" w:eastAsia="宋体"/>
          <w:sz w:val="24"/>
          <w:szCs w:val="28"/>
        </w:rPr>
      </w:pPr>
      <w:r>
        <w:rPr>
          <w:rFonts w:ascii="宋体" w:hAnsi="宋体" w:eastAsia="宋体"/>
          <w:sz w:val="24"/>
          <w:szCs w:val="28"/>
        </w:rPr>
        <w:t xml:space="preserve">3. </w:t>
      </w:r>
      <w:r>
        <w:rPr>
          <w:rFonts w:hint="eastAsia" w:ascii="宋体" w:hAnsi="宋体" w:eastAsia="宋体"/>
          <w:sz w:val="24"/>
          <w:szCs w:val="28"/>
        </w:rPr>
        <w:t>A06方向：</w:t>
      </w:r>
    </w:p>
    <w:p w14:paraId="5BBB857F">
      <w:pPr>
        <w:spacing w:line="500" w:lineRule="exact"/>
        <w:ind w:firstLine="480" w:firstLineChars="200"/>
        <w:rPr>
          <w:rFonts w:ascii="宋体" w:hAnsi="宋体" w:eastAsia="宋体"/>
          <w:color w:val="0000FF"/>
        </w:rPr>
      </w:pPr>
      <w:r>
        <w:rPr>
          <w:rFonts w:hint="eastAsia" w:ascii="宋体" w:hAnsi="宋体" w:eastAsia="宋体"/>
          <w:sz w:val="24"/>
          <w:szCs w:val="28"/>
        </w:rPr>
        <w:t xml:space="preserve">张洪蛟     </w:t>
      </w:r>
      <w:r>
        <w:rPr>
          <w:rFonts w:ascii="宋体" w:hAnsi="宋体" w:eastAsia="宋体"/>
          <w:sz w:val="24"/>
          <w:szCs w:val="28"/>
        </w:rPr>
        <w:t xml:space="preserve">  </w:t>
      </w:r>
      <w:r>
        <w:rPr>
          <w:rFonts w:hint="eastAsia" w:ascii="宋体" w:hAnsi="宋体" w:eastAsia="宋体"/>
          <w:sz w:val="24"/>
          <w:szCs w:val="28"/>
        </w:rPr>
        <w:t xml:space="preserve">  </w:t>
      </w:r>
      <w:r>
        <w:rPr>
          <w:rFonts w:hint="eastAsia" w:ascii="宋体" w:hAnsi="宋体" w:eastAsia="宋体"/>
          <w:color w:val="333333"/>
          <w:sz w:val="24"/>
          <w:szCs w:val="24"/>
          <w:shd w:val="clear" w:color="auto" w:fill="FFFFFF"/>
        </w:rPr>
        <w:t xml:space="preserve">电话：13156532000； </w:t>
      </w:r>
      <w:r>
        <w:rPr>
          <w:rFonts w:ascii="宋体" w:hAnsi="宋体" w:eastAsia="宋体"/>
          <w:color w:val="333333"/>
          <w:sz w:val="24"/>
          <w:szCs w:val="24"/>
          <w:shd w:val="clear" w:color="auto" w:fill="FFFFFF"/>
        </w:rPr>
        <w:t xml:space="preserve">  </w:t>
      </w:r>
      <w:r>
        <w:rPr>
          <w:rFonts w:hint="eastAsia" w:ascii="宋体" w:hAnsi="宋体" w:eastAsia="宋体"/>
          <w:sz w:val="24"/>
          <w:szCs w:val="28"/>
        </w:rPr>
        <w:t>邮箱：</w:t>
      </w:r>
      <w:r>
        <w:rPr>
          <w:rFonts w:hint="eastAsia" w:ascii="宋体" w:hAnsi="宋体" w:eastAsia="宋体"/>
          <w:color w:val="333333"/>
          <w:sz w:val="24"/>
          <w:szCs w:val="24"/>
          <w:shd w:val="clear" w:color="auto" w:fill="FFFFFF"/>
        </w:rPr>
        <w:t>hjzhang23@iflytek.com</w:t>
      </w:r>
    </w:p>
    <w:sectPr>
      <w:pgSz w:w="11906" w:h="16838"/>
      <w:pgMar w:top="1418" w:right="1531" w:bottom="136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7F637C58"/>
    <w:rsid w:val="001A64C4"/>
    <w:rsid w:val="0021206F"/>
    <w:rsid w:val="003D05A0"/>
    <w:rsid w:val="004446DD"/>
    <w:rsid w:val="004B4990"/>
    <w:rsid w:val="005B3281"/>
    <w:rsid w:val="006054BD"/>
    <w:rsid w:val="00670072"/>
    <w:rsid w:val="00724AF2"/>
    <w:rsid w:val="00736C29"/>
    <w:rsid w:val="007D7F25"/>
    <w:rsid w:val="00BF706B"/>
    <w:rsid w:val="00BF7532"/>
    <w:rsid w:val="00C613F4"/>
    <w:rsid w:val="00D34105"/>
    <w:rsid w:val="01E135D0"/>
    <w:rsid w:val="01F634DB"/>
    <w:rsid w:val="024F01E6"/>
    <w:rsid w:val="0299766C"/>
    <w:rsid w:val="03766107"/>
    <w:rsid w:val="040A684F"/>
    <w:rsid w:val="04AA2BE2"/>
    <w:rsid w:val="07C338E5"/>
    <w:rsid w:val="083D2463"/>
    <w:rsid w:val="092E3E01"/>
    <w:rsid w:val="0BB7276C"/>
    <w:rsid w:val="0C0D64DA"/>
    <w:rsid w:val="0E2523AE"/>
    <w:rsid w:val="0E8869F3"/>
    <w:rsid w:val="0FA56490"/>
    <w:rsid w:val="107E2A9F"/>
    <w:rsid w:val="10E36C90"/>
    <w:rsid w:val="11E71C7F"/>
    <w:rsid w:val="123517CD"/>
    <w:rsid w:val="12FB7C2C"/>
    <w:rsid w:val="15712BD2"/>
    <w:rsid w:val="1917145A"/>
    <w:rsid w:val="19ED0C23"/>
    <w:rsid w:val="1A393420"/>
    <w:rsid w:val="1B731DC7"/>
    <w:rsid w:val="1BB9498B"/>
    <w:rsid w:val="1E90200F"/>
    <w:rsid w:val="1F8B6A7D"/>
    <w:rsid w:val="215F4227"/>
    <w:rsid w:val="23F71EAB"/>
    <w:rsid w:val="250C5C83"/>
    <w:rsid w:val="26C61CE8"/>
    <w:rsid w:val="26E73CE4"/>
    <w:rsid w:val="278215BE"/>
    <w:rsid w:val="27B05E58"/>
    <w:rsid w:val="27CD3B71"/>
    <w:rsid w:val="296315D6"/>
    <w:rsid w:val="297656DF"/>
    <w:rsid w:val="29E9355A"/>
    <w:rsid w:val="2A187669"/>
    <w:rsid w:val="2B5B2183"/>
    <w:rsid w:val="2D320A41"/>
    <w:rsid w:val="2F0B69CD"/>
    <w:rsid w:val="2F1877C3"/>
    <w:rsid w:val="2FD656B4"/>
    <w:rsid w:val="31797FF5"/>
    <w:rsid w:val="32347BB4"/>
    <w:rsid w:val="32945FE1"/>
    <w:rsid w:val="34EA39B0"/>
    <w:rsid w:val="355F41C7"/>
    <w:rsid w:val="358D4A67"/>
    <w:rsid w:val="35C01D73"/>
    <w:rsid w:val="35E6375D"/>
    <w:rsid w:val="37014517"/>
    <w:rsid w:val="375F0685"/>
    <w:rsid w:val="37921779"/>
    <w:rsid w:val="3997175A"/>
    <w:rsid w:val="39FB3F3A"/>
    <w:rsid w:val="3CF90C54"/>
    <w:rsid w:val="3EAC2419"/>
    <w:rsid w:val="3FFE3893"/>
    <w:rsid w:val="41927053"/>
    <w:rsid w:val="4222708E"/>
    <w:rsid w:val="461B60BF"/>
    <w:rsid w:val="466E78A8"/>
    <w:rsid w:val="47BF20FF"/>
    <w:rsid w:val="480E058F"/>
    <w:rsid w:val="48FE09E3"/>
    <w:rsid w:val="49276D5E"/>
    <w:rsid w:val="4968786D"/>
    <w:rsid w:val="49FB10AC"/>
    <w:rsid w:val="4F075432"/>
    <w:rsid w:val="501716A5"/>
    <w:rsid w:val="51FF6894"/>
    <w:rsid w:val="525070F0"/>
    <w:rsid w:val="52CC60BE"/>
    <w:rsid w:val="53513D1E"/>
    <w:rsid w:val="564C7BCE"/>
    <w:rsid w:val="58A625D8"/>
    <w:rsid w:val="598F3A95"/>
    <w:rsid w:val="598F6750"/>
    <w:rsid w:val="5B0077ED"/>
    <w:rsid w:val="5B1C7008"/>
    <w:rsid w:val="5BB95D06"/>
    <w:rsid w:val="5C293FAE"/>
    <w:rsid w:val="5C366DE5"/>
    <w:rsid w:val="5C9B1A21"/>
    <w:rsid w:val="5CE76623"/>
    <w:rsid w:val="5CE77B9C"/>
    <w:rsid w:val="5E5B0C1B"/>
    <w:rsid w:val="5ED03EFB"/>
    <w:rsid w:val="5F614AEE"/>
    <w:rsid w:val="61DE0C0F"/>
    <w:rsid w:val="61DF3E29"/>
    <w:rsid w:val="623E1E4C"/>
    <w:rsid w:val="62957FCE"/>
    <w:rsid w:val="676D4654"/>
    <w:rsid w:val="67C717AB"/>
    <w:rsid w:val="68091CD4"/>
    <w:rsid w:val="68392D4D"/>
    <w:rsid w:val="68520161"/>
    <w:rsid w:val="6BD61B2E"/>
    <w:rsid w:val="6C4C227F"/>
    <w:rsid w:val="6C794F9C"/>
    <w:rsid w:val="6D4A4A10"/>
    <w:rsid w:val="6FD64453"/>
    <w:rsid w:val="70477E4B"/>
    <w:rsid w:val="706978A3"/>
    <w:rsid w:val="71685E68"/>
    <w:rsid w:val="71E56AE3"/>
    <w:rsid w:val="72C238D6"/>
    <w:rsid w:val="73391A0B"/>
    <w:rsid w:val="74A70BD1"/>
    <w:rsid w:val="755C4C45"/>
    <w:rsid w:val="77AC0D3D"/>
    <w:rsid w:val="77E617D9"/>
    <w:rsid w:val="7872423E"/>
    <w:rsid w:val="78EC7FC4"/>
    <w:rsid w:val="790C248F"/>
    <w:rsid w:val="79EB0219"/>
    <w:rsid w:val="7AA653F4"/>
    <w:rsid w:val="7C6C29B3"/>
    <w:rsid w:val="7C9B4E5A"/>
    <w:rsid w:val="7DF7539E"/>
    <w:rsid w:val="7F546CCB"/>
    <w:rsid w:val="7F637C58"/>
    <w:rsid w:val="7FC8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adjustRightInd w:val="0"/>
      <w:snapToGrid w:val="0"/>
      <w:spacing w:line="520" w:lineRule="exact"/>
      <w:ind w:firstLine="562" w:firstLineChars="200"/>
      <w:outlineLvl w:val="1"/>
    </w:pPr>
    <w:rPr>
      <w:rFonts w:ascii="宋体" w:hAnsi="宋体" w:eastAsia="宋体" w:cs="Times New Roman"/>
      <w:b/>
      <w:bCs/>
      <w:iCs/>
      <w:color w:val="000000" w:themeColor="text1"/>
      <w:kern w:val="0"/>
      <w:sz w:val="28"/>
      <w14:textFill>
        <w14:solidFill>
          <w14:schemeClr w14:val="tx1"/>
        </w14:solidFill>
      </w14:textFil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paragraph" w:styleId="8">
    <w:name w:val="List Paragraph"/>
    <w:basedOn w:val="1"/>
    <w:autoRedefine/>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7210</Words>
  <Characters>7561</Characters>
  <Lines>55</Lines>
  <Paragraphs>15</Paragraphs>
  <TotalTime>1</TotalTime>
  <ScaleCrop>false</ScaleCrop>
  <LinksUpToDate>false</LinksUpToDate>
  <CharactersWithSpaces>7631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2025-09-02T07:09:00Z</dcterms:created>
  <dc:creator>小果子 </dc:creator>
  <cp:lastModifiedBy>黄欣Lucia</cp:lastModifiedBy>
  <dcterms:modified xsi:type="dcterms:W3CDTF">2025-09-15T06:46:28Z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95A0F2C7E8E14CADB91D91AC0FE6E716_13</vt:lpwstr>
  </property>
  <property fmtid="{D5CDD505-2E9C-101B-9397-08002B2CF9AE}" pid="4" name="KSOTemplateDocerSaveRecord">
    <vt:lpwstr>eyJoZGlkIjoiNDkwNTQ1ZjZlZjY2OWU1OGFjYjk2ODNhMjZhODYzODMiLCJ1c2VySWQiOiIxMzM2NDkyOTU1In0=</vt:lpwstr>
  </property>
  <property fmtid="{D5CDD505-2E9C-101B-9397-08002B2CF9AE}" pid="5" name="CWM281d55207dbc11f08000097800000978">
    <vt:lpwstr>CWM+bTbcMjhesDXkCAxG5uD1RAAxkj+eGHSSEbut2AwsCRzaVyOSPsFevjikHTOoA3fakJKygHT/ZYHWwYzk3jQaQ==</vt:lpwstr>
  </property>
</Properties>
</file>