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EB" w:rsidRDefault="0010758A">
      <w:pPr>
        <w:spacing w:beforeLines="50" w:before="156" w:afterLines="50" w:after="156" w:line="276" w:lineRule="auto"/>
        <w:jc w:val="left"/>
        <w:rPr>
          <w:rFonts w:ascii="仿宋" w:eastAsia="仿宋" w:hAnsi="仿宋" w:cs="MicrosoftYaHei-Bold"/>
          <w:bCs/>
          <w:kern w:val="0"/>
          <w:sz w:val="32"/>
          <w:szCs w:val="36"/>
        </w:rPr>
      </w:pPr>
      <w:r>
        <w:rPr>
          <w:rFonts w:ascii="仿宋" w:eastAsia="仿宋" w:hAnsi="仿宋" w:cs="MicrosoftYaHei-Bold" w:hint="eastAsia"/>
          <w:bCs/>
          <w:kern w:val="0"/>
          <w:sz w:val="32"/>
          <w:szCs w:val="36"/>
        </w:rPr>
        <w:t>附件</w:t>
      </w:r>
      <w:r>
        <w:rPr>
          <w:rFonts w:ascii="仿宋" w:eastAsia="仿宋" w:hAnsi="仿宋" w:cs="MicrosoftYaHei-Bold" w:hint="eastAsia"/>
          <w:bCs/>
          <w:kern w:val="0"/>
          <w:sz w:val="32"/>
          <w:szCs w:val="36"/>
        </w:rPr>
        <w:t>1</w:t>
      </w:r>
    </w:p>
    <w:p w:rsidR="00083BEB" w:rsidRDefault="0010758A">
      <w:pPr>
        <w:spacing w:beforeLines="50" w:before="156" w:afterLines="50" w:after="156" w:line="276" w:lineRule="auto"/>
        <w:jc w:val="center"/>
        <w:rPr>
          <w:rFonts w:ascii="华文中宋" w:eastAsia="华文中宋" w:hAnsi="华文中宋" w:cs="Times New Roman"/>
          <w:b/>
          <w:color w:val="000000" w:themeColor="text1"/>
          <w:sz w:val="32"/>
          <w:szCs w:val="36"/>
        </w:rPr>
      </w:pPr>
      <w:bookmarkStart w:id="0" w:name="_GoBack"/>
      <w:r>
        <w:rPr>
          <w:rFonts w:ascii="华文中宋" w:eastAsia="华文中宋" w:hAnsi="华文中宋" w:cs="MicrosoftYaHei-Bold" w:hint="eastAsia"/>
          <w:b/>
          <w:bCs/>
          <w:kern w:val="0"/>
          <w:sz w:val="32"/>
          <w:szCs w:val="36"/>
        </w:rPr>
        <w:t>新型冠状病毒感染基础研究重要科学问题专项项目指南</w:t>
      </w:r>
    </w:p>
    <w:bookmarkEnd w:id="0"/>
    <w:p w:rsidR="00083BEB" w:rsidRDefault="0010758A">
      <w:pPr>
        <w:spacing w:beforeLines="50" w:before="156" w:afterLines="50" w:after="156" w:line="276"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新冠疫情发生以来，以习近平同志为核心的党中央始终坚持人民至上、生命至上，团结带领全党全国各族人民同心抗疫，高效统筹疫情防控和经济社会发展。目前全国疫情防控形势已进入“乙类乙管”常态化防控阶段。但新型冠状病毒仍在不断变异及重组，病毒及其感染的大量基础科学问题仍未彻底认识，对疫苗和药物的研发不断提出新的要求。在变异毒株研判、病毒感染及致病的机制、机体免疫反应等相关领域研究基础仍需进一步提升，为防治策略的制定提供科学依据。因此，为应对新冠疫情防控工作面临的新形势，并为今后新发、再发重大传染病防控提供科学指导，国家</w:t>
      </w:r>
      <w:r>
        <w:rPr>
          <w:rFonts w:ascii="仿宋" w:eastAsia="仿宋" w:hAnsi="仿宋" w:cs="Times New Roman" w:hint="eastAsia"/>
          <w:sz w:val="32"/>
          <w:szCs w:val="32"/>
        </w:rPr>
        <w:t>自然科学基金委员会拟启动专项项目支持对新型冠状病毒感染基础研究的重要科学问题开展研究。</w:t>
      </w:r>
    </w:p>
    <w:p w:rsidR="00083BEB" w:rsidRDefault="0010758A">
      <w:pPr>
        <w:spacing w:beforeLines="50" w:before="156" w:afterLines="50" w:after="156" w:line="276" w:lineRule="auto"/>
        <w:ind w:firstLineChars="200" w:firstLine="643"/>
        <w:jc w:val="left"/>
        <w:rPr>
          <w:rFonts w:ascii="黑体" w:eastAsia="黑体" w:hAnsi="黑体"/>
          <w:b/>
          <w:bCs/>
          <w:color w:val="000000" w:themeColor="text1"/>
          <w:sz w:val="32"/>
          <w:szCs w:val="32"/>
        </w:rPr>
      </w:pPr>
      <w:r>
        <w:rPr>
          <w:rFonts w:ascii="黑体" w:eastAsia="黑体" w:hAnsi="黑体" w:cs="Times New Roman" w:hint="eastAsia"/>
          <w:b/>
          <w:bCs/>
          <w:kern w:val="0"/>
          <w:sz w:val="32"/>
          <w:szCs w:val="32"/>
        </w:rPr>
        <w:t>一、科学目标</w:t>
      </w:r>
    </w:p>
    <w:p w:rsidR="00083BEB" w:rsidRDefault="0010758A">
      <w:pPr>
        <w:spacing w:beforeLines="50" w:before="156" w:afterLines="50" w:after="156" w:line="276"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本专项将聚焦新型冠状病毒病原学研究中亟待解决的关键科学问题，利用分子生物学、细胞生物学、免疫学、生物信息学和结构生物学等方法开展研究，探索以新型冠状病毒为代表的人致病性冠状病毒的感染机制、免疫应答机制及致病机制，揭示病毒全周期共性靶点，为抗病毒药物及疫苗研发和疾病防治提供科学依据和新策略。</w:t>
      </w:r>
    </w:p>
    <w:p w:rsidR="00083BEB" w:rsidRDefault="0010758A">
      <w:pPr>
        <w:spacing w:beforeLines="50" w:before="156" w:afterLines="50" w:after="156" w:line="276" w:lineRule="auto"/>
        <w:ind w:firstLineChars="200" w:firstLine="643"/>
        <w:jc w:val="left"/>
        <w:rPr>
          <w:rFonts w:ascii="黑体" w:eastAsia="黑体" w:hAnsi="黑体" w:cs="Times New Roman"/>
          <w:b/>
          <w:bCs/>
          <w:kern w:val="0"/>
          <w:sz w:val="32"/>
          <w:szCs w:val="32"/>
        </w:rPr>
      </w:pPr>
      <w:r>
        <w:rPr>
          <w:rFonts w:ascii="黑体" w:eastAsia="黑体" w:hAnsi="黑体" w:cs="Times New Roman" w:hint="eastAsia"/>
          <w:b/>
          <w:bCs/>
          <w:kern w:val="0"/>
          <w:sz w:val="32"/>
          <w:szCs w:val="32"/>
        </w:rPr>
        <w:lastRenderedPageBreak/>
        <w:t>二、主要资助方向</w:t>
      </w:r>
    </w:p>
    <w:p w:rsidR="00083BEB" w:rsidRDefault="0010758A">
      <w:pPr>
        <w:spacing w:beforeLines="50" w:before="156" w:afterLines="50" w:after="156" w:line="276"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针对新型冠状病毒病原学亟待解决的科学问题，本专项项目拟资助以下研究方向：</w:t>
      </w:r>
    </w:p>
    <w:p w:rsidR="00083BEB" w:rsidRDefault="0010758A">
      <w:pPr>
        <w:pStyle w:val="ab"/>
        <w:widowControl/>
        <w:spacing w:before="240" w:beforeAutospacing="0" w:afterAutospacing="0" w:line="276" w:lineRule="auto"/>
        <w:ind w:firstLineChars="200" w:firstLine="643"/>
        <w:jc w:val="both"/>
        <w:rPr>
          <w:rFonts w:ascii="仿宋" w:eastAsia="仿宋" w:hAnsi="仿宋"/>
          <w:b/>
          <w:bCs/>
          <w:kern w:val="2"/>
          <w:sz w:val="32"/>
          <w:szCs w:val="32"/>
        </w:rPr>
      </w:pPr>
      <w:r>
        <w:rPr>
          <w:rFonts w:ascii="仿宋" w:eastAsia="仿宋" w:hAnsi="仿宋" w:hint="eastAsia"/>
          <w:b/>
          <w:bCs/>
          <w:kern w:val="2"/>
          <w:sz w:val="32"/>
          <w:szCs w:val="32"/>
        </w:rPr>
        <w:t>1</w:t>
      </w:r>
      <w:r>
        <w:rPr>
          <w:rFonts w:ascii="仿宋" w:eastAsia="仿宋" w:hAnsi="仿宋" w:hint="eastAsia"/>
          <w:b/>
          <w:bCs/>
          <w:kern w:val="2"/>
          <w:sz w:val="32"/>
          <w:szCs w:val="32"/>
        </w:rPr>
        <w:t>.</w:t>
      </w:r>
      <w:r>
        <w:rPr>
          <w:rFonts w:ascii="仿宋" w:eastAsia="仿宋" w:hAnsi="仿宋" w:hint="eastAsia"/>
          <w:b/>
          <w:bCs/>
          <w:kern w:val="2"/>
          <w:sz w:val="32"/>
          <w:szCs w:val="32"/>
        </w:rPr>
        <w:t>感染机制：</w:t>
      </w:r>
      <w:r>
        <w:rPr>
          <w:rFonts w:ascii="仿宋" w:eastAsia="仿宋" w:hAnsi="仿宋" w:hint="eastAsia"/>
          <w:kern w:val="2"/>
          <w:sz w:val="32"/>
          <w:szCs w:val="32"/>
        </w:rPr>
        <w:t>解析</w:t>
      </w:r>
      <w:r>
        <w:rPr>
          <w:rFonts w:ascii="仿宋" w:eastAsia="仿宋" w:hAnsi="仿宋" w:hint="eastAsia"/>
          <w:sz w:val="32"/>
          <w:szCs w:val="32"/>
        </w:rPr>
        <w:t>新型冠状病毒</w:t>
      </w:r>
      <w:r>
        <w:rPr>
          <w:rFonts w:ascii="仿宋" w:eastAsia="仿宋" w:hAnsi="仿宋" w:hint="eastAsia"/>
          <w:kern w:val="2"/>
          <w:sz w:val="32"/>
          <w:szCs w:val="32"/>
        </w:rPr>
        <w:t>结构特征与功能，建立冠状病毒感染、传播和致病的新型动物及类器官模型，揭示冠状病毒跨种传播以及不同变异株致病性差异的分子机制。</w:t>
      </w:r>
    </w:p>
    <w:p w:rsidR="00083BEB" w:rsidRDefault="0010758A">
      <w:pPr>
        <w:pStyle w:val="ab"/>
        <w:widowControl/>
        <w:spacing w:before="240" w:beforeAutospacing="0" w:afterAutospacing="0" w:line="276" w:lineRule="auto"/>
        <w:ind w:firstLineChars="200" w:firstLine="643"/>
        <w:jc w:val="both"/>
        <w:rPr>
          <w:rFonts w:ascii="仿宋" w:eastAsia="仿宋" w:hAnsi="仿宋"/>
          <w:kern w:val="2"/>
          <w:sz w:val="32"/>
          <w:szCs w:val="32"/>
        </w:rPr>
      </w:pPr>
      <w:r>
        <w:rPr>
          <w:rFonts w:ascii="仿宋" w:eastAsia="仿宋" w:hAnsi="仿宋" w:hint="eastAsia"/>
          <w:b/>
          <w:bCs/>
          <w:kern w:val="2"/>
          <w:sz w:val="32"/>
          <w:szCs w:val="32"/>
        </w:rPr>
        <w:t>2</w:t>
      </w:r>
      <w:r>
        <w:rPr>
          <w:rFonts w:ascii="仿宋" w:eastAsia="仿宋" w:hAnsi="仿宋" w:hint="eastAsia"/>
          <w:b/>
          <w:bCs/>
          <w:kern w:val="2"/>
          <w:sz w:val="32"/>
          <w:szCs w:val="32"/>
        </w:rPr>
        <w:t>.</w:t>
      </w:r>
      <w:r>
        <w:rPr>
          <w:rFonts w:ascii="仿宋" w:eastAsia="仿宋" w:hAnsi="仿宋" w:hint="eastAsia"/>
          <w:b/>
          <w:bCs/>
          <w:kern w:val="2"/>
          <w:sz w:val="32"/>
          <w:szCs w:val="32"/>
        </w:rPr>
        <w:t>免疫机制：</w:t>
      </w:r>
      <w:r>
        <w:rPr>
          <w:rFonts w:ascii="仿宋" w:eastAsia="仿宋" w:hAnsi="仿宋" w:hint="eastAsia"/>
          <w:kern w:val="2"/>
          <w:sz w:val="32"/>
          <w:szCs w:val="32"/>
        </w:rPr>
        <w:t>解析</w:t>
      </w:r>
      <w:r>
        <w:rPr>
          <w:rFonts w:ascii="仿宋" w:eastAsia="仿宋" w:hAnsi="仿宋" w:hint="eastAsia"/>
          <w:sz w:val="32"/>
          <w:szCs w:val="32"/>
        </w:rPr>
        <w:t>新型冠状病毒</w:t>
      </w:r>
      <w:r>
        <w:rPr>
          <w:rFonts w:ascii="仿宋" w:eastAsia="仿宋" w:hAnsi="仿宋" w:hint="eastAsia"/>
          <w:kern w:val="2"/>
          <w:sz w:val="32"/>
          <w:szCs w:val="32"/>
        </w:rPr>
        <w:t>关键蛋白的结构、功能及其免疫原性的演化特征，鉴定可诱导长效免疫应答的免疫原，揭示感染异质性、免疫屏障建立的分子机制，为增强抗冠状病毒免疫应答提供重要科学依据。</w:t>
      </w:r>
    </w:p>
    <w:p w:rsidR="00083BEB" w:rsidRDefault="0010758A">
      <w:pPr>
        <w:pStyle w:val="ab"/>
        <w:widowControl/>
        <w:spacing w:before="240" w:beforeAutospacing="0" w:afterAutospacing="0" w:line="276" w:lineRule="auto"/>
        <w:ind w:firstLineChars="200" w:firstLine="643"/>
        <w:jc w:val="both"/>
        <w:rPr>
          <w:rFonts w:ascii="仿宋" w:eastAsia="仿宋" w:hAnsi="仿宋"/>
          <w:kern w:val="2"/>
          <w:sz w:val="32"/>
          <w:szCs w:val="32"/>
        </w:rPr>
      </w:pPr>
      <w:r>
        <w:rPr>
          <w:rFonts w:ascii="仿宋" w:eastAsia="仿宋" w:hAnsi="仿宋" w:hint="eastAsia"/>
          <w:b/>
          <w:bCs/>
          <w:kern w:val="2"/>
          <w:sz w:val="32"/>
          <w:szCs w:val="32"/>
        </w:rPr>
        <w:t>3</w:t>
      </w:r>
      <w:r>
        <w:rPr>
          <w:rFonts w:ascii="仿宋" w:eastAsia="仿宋" w:hAnsi="仿宋" w:hint="eastAsia"/>
          <w:b/>
          <w:bCs/>
          <w:kern w:val="2"/>
          <w:sz w:val="32"/>
          <w:szCs w:val="32"/>
        </w:rPr>
        <w:t>.</w:t>
      </w:r>
      <w:r>
        <w:rPr>
          <w:rFonts w:ascii="仿宋" w:eastAsia="仿宋" w:hAnsi="仿宋" w:hint="eastAsia"/>
          <w:b/>
          <w:bCs/>
          <w:kern w:val="2"/>
          <w:sz w:val="32"/>
          <w:szCs w:val="32"/>
        </w:rPr>
        <w:t>致病机制：</w:t>
      </w:r>
      <w:r>
        <w:rPr>
          <w:rFonts w:ascii="仿宋" w:eastAsia="仿宋" w:hAnsi="仿宋" w:hint="eastAsia"/>
          <w:kern w:val="2"/>
          <w:sz w:val="32"/>
          <w:szCs w:val="32"/>
        </w:rPr>
        <w:t>鉴定参与</w:t>
      </w:r>
      <w:r>
        <w:rPr>
          <w:rFonts w:ascii="仿宋" w:eastAsia="仿宋" w:hAnsi="仿宋" w:hint="eastAsia"/>
          <w:sz w:val="32"/>
          <w:szCs w:val="32"/>
        </w:rPr>
        <w:t>新型冠状病毒</w:t>
      </w:r>
      <w:r>
        <w:rPr>
          <w:rFonts w:ascii="仿宋" w:eastAsia="仿宋" w:hAnsi="仿宋" w:hint="eastAsia"/>
          <w:kern w:val="2"/>
          <w:sz w:val="32"/>
          <w:szCs w:val="32"/>
        </w:rPr>
        <w:t>复制中的致病因子与新型宿主因子，开展冠状病毒与宿主互作的共性全景动态机制研究；阐明冠状病毒感染后组织损伤、修复的细胞和分子机制，为抗病毒药物和疫苗的研</w:t>
      </w:r>
      <w:r>
        <w:rPr>
          <w:rFonts w:ascii="仿宋" w:eastAsia="仿宋" w:hAnsi="仿宋" w:hint="eastAsia"/>
          <w:kern w:val="2"/>
          <w:sz w:val="32"/>
          <w:szCs w:val="32"/>
        </w:rPr>
        <w:t>发提供了新的靶标和方向。</w:t>
      </w:r>
    </w:p>
    <w:p w:rsidR="00083BEB" w:rsidRDefault="0010758A">
      <w:pPr>
        <w:pStyle w:val="ab"/>
        <w:widowControl/>
        <w:spacing w:before="240" w:beforeAutospacing="0" w:afterAutospacing="0" w:line="276" w:lineRule="auto"/>
        <w:ind w:firstLineChars="200" w:firstLine="643"/>
        <w:jc w:val="both"/>
        <w:rPr>
          <w:rFonts w:ascii="仿宋" w:eastAsia="仿宋" w:hAnsi="仿宋"/>
          <w:kern w:val="2"/>
          <w:sz w:val="32"/>
          <w:szCs w:val="32"/>
        </w:rPr>
      </w:pPr>
      <w:r>
        <w:rPr>
          <w:rFonts w:ascii="仿宋" w:eastAsia="仿宋" w:hAnsi="仿宋" w:hint="eastAsia"/>
          <w:b/>
          <w:bCs/>
          <w:kern w:val="2"/>
          <w:sz w:val="32"/>
          <w:szCs w:val="32"/>
        </w:rPr>
        <w:t>4</w:t>
      </w:r>
      <w:r>
        <w:rPr>
          <w:rFonts w:ascii="仿宋" w:eastAsia="仿宋" w:hAnsi="仿宋" w:hint="eastAsia"/>
          <w:b/>
          <w:bCs/>
          <w:kern w:val="2"/>
          <w:sz w:val="32"/>
          <w:szCs w:val="32"/>
        </w:rPr>
        <w:t>.</w:t>
      </w:r>
      <w:r>
        <w:rPr>
          <w:rFonts w:ascii="仿宋" w:eastAsia="仿宋" w:hAnsi="仿宋" w:hint="eastAsia"/>
          <w:b/>
          <w:bCs/>
          <w:kern w:val="2"/>
          <w:sz w:val="32"/>
          <w:szCs w:val="32"/>
        </w:rPr>
        <w:t>共性靶点研究：</w:t>
      </w:r>
      <w:r>
        <w:rPr>
          <w:rFonts w:ascii="仿宋" w:eastAsia="仿宋" w:hAnsi="仿宋" w:hint="eastAsia"/>
          <w:kern w:val="2"/>
          <w:sz w:val="32"/>
          <w:szCs w:val="32"/>
        </w:rPr>
        <w:t>探索</w:t>
      </w:r>
      <w:r>
        <w:rPr>
          <w:rFonts w:ascii="仿宋" w:eastAsia="仿宋" w:hAnsi="仿宋" w:hint="eastAsia"/>
          <w:sz w:val="32"/>
          <w:szCs w:val="32"/>
        </w:rPr>
        <w:t>新型冠状病毒</w:t>
      </w:r>
      <w:r>
        <w:rPr>
          <w:rFonts w:ascii="仿宋" w:eastAsia="仿宋" w:hAnsi="仿宋" w:hint="eastAsia"/>
          <w:kern w:val="2"/>
          <w:sz w:val="32"/>
          <w:szCs w:val="32"/>
        </w:rPr>
        <w:t>复制周期的分子机制，揭示其基因组变异、遗传进化及重组的分子机制，发掘潜在的共性药物设计靶点，为筛选广谱抗冠状病毒药物提供理论基础。</w:t>
      </w:r>
    </w:p>
    <w:p w:rsidR="00083BEB" w:rsidRDefault="0010758A">
      <w:pPr>
        <w:spacing w:beforeLines="50" w:before="156" w:afterLines="50" w:after="156" w:line="276" w:lineRule="auto"/>
        <w:ind w:firstLineChars="200" w:firstLine="643"/>
        <w:jc w:val="left"/>
        <w:rPr>
          <w:rFonts w:ascii="黑体" w:eastAsia="黑体" w:hAnsi="黑体" w:cs="Times New Roman"/>
          <w:b/>
          <w:bCs/>
          <w:kern w:val="0"/>
          <w:sz w:val="32"/>
          <w:szCs w:val="32"/>
        </w:rPr>
      </w:pPr>
      <w:r>
        <w:rPr>
          <w:rFonts w:ascii="黑体" w:eastAsia="黑体" w:hAnsi="黑体" w:cs="Times New Roman" w:hint="eastAsia"/>
          <w:b/>
          <w:bCs/>
          <w:kern w:val="0"/>
          <w:sz w:val="32"/>
          <w:szCs w:val="32"/>
        </w:rPr>
        <w:t>三、资助计划</w:t>
      </w:r>
    </w:p>
    <w:p w:rsidR="00083BEB" w:rsidRDefault="0010758A">
      <w:pPr>
        <w:pStyle w:val="ab"/>
        <w:widowControl/>
        <w:spacing w:beforeLines="50" w:before="156" w:beforeAutospacing="0" w:afterLines="50" w:after="156" w:afterAutospacing="0" w:line="276" w:lineRule="auto"/>
        <w:ind w:firstLineChars="200" w:firstLine="640"/>
        <w:jc w:val="both"/>
        <w:rPr>
          <w:rFonts w:ascii="仿宋" w:eastAsia="仿宋" w:hAnsi="仿宋"/>
          <w:color w:val="000000" w:themeColor="text1"/>
          <w:kern w:val="2"/>
          <w:sz w:val="32"/>
          <w:szCs w:val="32"/>
        </w:rPr>
      </w:pPr>
      <w:r>
        <w:rPr>
          <w:rFonts w:ascii="仿宋" w:eastAsia="仿宋" w:hAnsi="仿宋" w:hint="eastAsia"/>
          <w:kern w:val="2"/>
          <w:sz w:val="32"/>
          <w:szCs w:val="32"/>
        </w:rPr>
        <w:lastRenderedPageBreak/>
        <w:t>本专项项目直接费用总额度约</w:t>
      </w:r>
      <w:r>
        <w:rPr>
          <w:rFonts w:ascii="仿宋" w:eastAsia="仿宋" w:hAnsi="仿宋" w:hint="eastAsia"/>
          <w:kern w:val="2"/>
          <w:sz w:val="32"/>
          <w:szCs w:val="32"/>
        </w:rPr>
        <w:t>4000</w:t>
      </w:r>
      <w:r>
        <w:rPr>
          <w:rFonts w:ascii="仿宋" w:eastAsia="仿宋" w:hAnsi="仿宋" w:hint="eastAsia"/>
          <w:kern w:val="2"/>
          <w:sz w:val="32"/>
          <w:szCs w:val="32"/>
        </w:rPr>
        <w:t>万元。项目资助期限一般为</w:t>
      </w:r>
      <w:r>
        <w:rPr>
          <w:rFonts w:ascii="仿宋" w:eastAsia="仿宋" w:hAnsi="仿宋" w:hint="eastAsia"/>
          <w:kern w:val="2"/>
          <w:sz w:val="32"/>
          <w:szCs w:val="32"/>
        </w:rPr>
        <w:t>3</w:t>
      </w:r>
      <w:r>
        <w:rPr>
          <w:rFonts w:ascii="仿宋" w:eastAsia="仿宋" w:hAnsi="仿宋" w:hint="eastAsia"/>
          <w:kern w:val="2"/>
          <w:sz w:val="32"/>
          <w:szCs w:val="32"/>
        </w:rPr>
        <w:t>年，计划资助平均资助强度约</w:t>
      </w:r>
      <w:r>
        <w:rPr>
          <w:rFonts w:ascii="仿宋" w:eastAsia="仿宋" w:hAnsi="仿宋" w:hint="eastAsia"/>
          <w:kern w:val="2"/>
          <w:sz w:val="32"/>
          <w:szCs w:val="32"/>
        </w:rPr>
        <w:t>200-300</w:t>
      </w:r>
      <w:r>
        <w:rPr>
          <w:rFonts w:ascii="仿宋" w:eastAsia="仿宋" w:hAnsi="仿宋" w:hint="eastAsia"/>
          <w:kern w:val="2"/>
          <w:sz w:val="32"/>
          <w:szCs w:val="32"/>
        </w:rPr>
        <w:t>万元</w:t>
      </w:r>
      <w:r>
        <w:rPr>
          <w:rFonts w:ascii="仿宋" w:eastAsia="仿宋" w:hAnsi="仿宋" w:hint="eastAsia"/>
          <w:kern w:val="2"/>
          <w:sz w:val="32"/>
          <w:szCs w:val="32"/>
        </w:rPr>
        <w:t>/</w:t>
      </w:r>
      <w:r>
        <w:rPr>
          <w:rFonts w:ascii="仿宋" w:eastAsia="仿宋" w:hAnsi="仿宋" w:hint="eastAsia"/>
          <w:kern w:val="2"/>
          <w:sz w:val="32"/>
          <w:szCs w:val="32"/>
        </w:rPr>
        <w:t>项的项目</w:t>
      </w:r>
      <w:r>
        <w:rPr>
          <w:rFonts w:ascii="仿宋" w:eastAsia="仿宋" w:hAnsi="仿宋" w:hint="eastAsia"/>
          <w:kern w:val="2"/>
          <w:sz w:val="32"/>
          <w:szCs w:val="32"/>
        </w:rPr>
        <w:t>8-10</w:t>
      </w:r>
      <w:r>
        <w:rPr>
          <w:rFonts w:ascii="仿宋" w:eastAsia="仿宋" w:hAnsi="仿宋" w:hint="eastAsia"/>
          <w:kern w:val="2"/>
          <w:sz w:val="32"/>
          <w:szCs w:val="32"/>
        </w:rPr>
        <w:t>项左右，资助平均资助强度约</w:t>
      </w:r>
      <w:r>
        <w:rPr>
          <w:rFonts w:ascii="仿宋" w:eastAsia="仿宋" w:hAnsi="仿宋" w:hint="eastAsia"/>
          <w:kern w:val="2"/>
          <w:sz w:val="32"/>
          <w:szCs w:val="32"/>
        </w:rPr>
        <w:t>60-80</w:t>
      </w:r>
      <w:r>
        <w:rPr>
          <w:rFonts w:ascii="仿宋" w:eastAsia="仿宋" w:hAnsi="仿宋" w:hint="eastAsia"/>
          <w:kern w:val="2"/>
          <w:sz w:val="32"/>
          <w:szCs w:val="32"/>
        </w:rPr>
        <w:t>万元</w:t>
      </w:r>
      <w:r>
        <w:rPr>
          <w:rFonts w:ascii="仿宋" w:eastAsia="仿宋" w:hAnsi="仿宋" w:hint="eastAsia"/>
          <w:kern w:val="2"/>
          <w:sz w:val="32"/>
          <w:szCs w:val="32"/>
        </w:rPr>
        <w:t>/</w:t>
      </w:r>
      <w:r>
        <w:rPr>
          <w:rFonts w:ascii="仿宋" w:eastAsia="仿宋" w:hAnsi="仿宋" w:hint="eastAsia"/>
          <w:kern w:val="2"/>
          <w:sz w:val="32"/>
          <w:szCs w:val="32"/>
        </w:rPr>
        <w:t>项的项目</w:t>
      </w:r>
      <w:r>
        <w:rPr>
          <w:rFonts w:ascii="仿宋" w:eastAsia="仿宋" w:hAnsi="仿宋" w:hint="eastAsia"/>
          <w:kern w:val="2"/>
          <w:sz w:val="32"/>
          <w:szCs w:val="32"/>
        </w:rPr>
        <w:t>20-30</w:t>
      </w:r>
      <w:r>
        <w:rPr>
          <w:rFonts w:ascii="仿宋" w:eastAsia="仿宋" w:hAnsi="仿宋" w:hint="eastAsia"/>
          <w:kern w:val="2"/>
          <w:sz w:val="32"/>
          <w:szCs w:val="32"/>
        </w:rPr>
        <w:t>项左右。申请书中研究期限应填写“</w:t>
      </w:r>
      <w:r>
        <w:rPr>
          <w:rFonts w:ascii="仿宋" w:eastAsia="仿宋" w:hAnsi="仿宋" w:hint="eastAsia"/>
          <w:kern w:val="2"/>
          <w:sz w:val="32"/>
          <w:szCs w:val="32"/>
        </w:rPr>
        <w:t>2024</w:t>
      </w:r>
      <w:r>
        <w:rPr>
          <w:rFonts w:ascii="仿宋" w:eastAsia="仿宋" w:hAnsi="仿宋" w:hint="eastAsia"/>
          <w:kern w:val="2"/>
          <w:sz w:val="32"/>
          <w:szCs w:val="32"/>
        </w:rPr>
        <w:t>年</w:t>
      </w:r>
      <w:r>
        <w:rPr>
          <w:rFonts w:ascii="仿宋" w:eastAsia="仿宋" w:hAnsi="仿宋" w:hint="eastAsia"/>
          <w:kern w:val="2"/>
          <w:sz w:val="32"/>
          <w:szCs w:val="32"/>
        </w:rPr>
        <w:t>1</w:t>
      </w:r>
      <w:r>
        <w:rPr>
          <w:rFonts w:ascii="仿宋" w:eastAsia="仿宋" w:hAnsi="仿宋" w:hint="eastAsia"/>
          <w:kern w:val="2"/>
          <w:sz w:val="32"/>
          <w:szCs w:val="32"/>
        </w:rPr>
        <w:t>月</w:t>
      </w:r>
      <w:r>
        <w:rPr>
          <w:rFonts w:ascii="仿宋" w:eastAsia="仿宋" w:hAnsi="仿宋" w:hint="eastAsia"/>
          <w:kern w:val="2"/>
          <w:sz w:val="32"/>
          <w:szCs w:val="32"/>
        </w:rPr>
        <w:t>1</w:t>
      </w:r>
      <w:r>
        <w:rPr>
          <w:rFonts w:ascii="仿宋" w:eastAsia="仿宋" w:hAnsi="仿宋" w:hint="eastAsia"/>
          <w:kern w:val="2"/>
          <w:sz w:val="32"/>
          <w:szCs w:val="32"/>
        </w:rPr>
        <w:t>日</w:t>
      </w:r>
      <w:r>
        <w:rPr>
          <w:rFonts w:ascii="仿宋" w:eastAsia="仿宋" w:hAnsi="仿宋" w:hint="eastAsia"/>
          <w:kern w:val="2"/>
          <w:sz w:val="32"/>
          <w:szCs w:val="32"/>
        </w:rPr>
        <w:t>-2026</w:t>
      </w:r>
      <w:r>
        <w:rPr>
          <w:rFonts w:ascii="仿宋" w:eastAsia="仿宋" w:hAnsi="仿宋" w:hint="eastAsia"/>
          <w:kern w:val="2"/>
          <w:sz w:val="32"/>
          <w:szCs w:val="32"/>
        </w:rPr>
        <w:t>年</w:t>
      </w:r>
      <w:r>
        <w:rPr>
          <w:rFonts w:ascii="仿宋" w:eastAsia="仿宋" w:hAnsi="仿宋" w:hint="eastAsia"/>
          <w:kern w:val="2"/>
          <w:sz w:val="32"/>
          <w:szCs w:val="32"/>
        </w:rPr>
        <w:t>12</w:t>
      </w:r>
      <w:r>
        <w:rPr>
          <w:rFonts w:ascii="仿宋" w:eastAsia="仿宋" w:hAnsi="仿宋" w:hint="eastAsia"/>
          <w:kern w:val="2"/>
          <w:sz w:val="32"/>
          <w:szCs w:val="32"/>
        </w:rPr>
        <w:t>月</w:t>
      </w:r>
      <w:r>
        <w:rPr>
          <w:rFonts w:ascii="仿宋" w:eastAsia="仿宋" w:hAnsi="仿宋" w:hint="eastAsia"/>
          <w:kern w:val="2"/>
          <w:sz w:val="32"/>
          <w:szCs w:val="32"/>
        </w:rPr>
        <w:t>31</w:t>
      </w:r>
      <w:r>
        <w:rPr>
          <w:rFonts w:ascii="仿宋" w:eastAsia="仿宋" w:hAnsi="仿宋" w:hint="eastAsia"/>
          <w:kern w:val="2"/>
          <w:sz w:val="32"/>
          <w:szCs w:val="32"/>
        </w:rPr>
        <w:t>日”。</w:t>
      </w:r>
    </w:p>
    <w:p w:rsidR="00083BEB" w:rsidRDefault="0010758A">
      <w:pPr>
        <w:spacing w:beforeLines="50" w:before="156" w:afterLines="50" w:after="156" w:line="276" w:lineRule="auto"/>
        <w:ind w:firstLineChars="200" w:firstLine="643"/>
        <w:jc w:val="left"/>
        <w:rPr>
          <w:rFonts w:ascii="黑体" w:eastAsia="黑体" w:hAnsi="黑体" w:cs="Times New Roman"/>
          <w:b/>
          <w:bCs/>
          <w:kern w:val="0"/>
          <w:sz w:val="32"/>
          <w:szCs w:val="32"/>
        </w:rPr>
      </w:pPr>
      <w:r>
        <w:rPr>
          <w:rFonts w:ascii="黑体" w:eastAsia="黑体" w:hAnsi="黑体" w:cs="Times New Roman" w:hint="eastAsia"/>
          <w:b/>
          <w:bCs/>
          <w:kern w:val="0"/>
          <w:sz w:val="32"/>
          <w:szCs w:val="32"/>
        </w:rPr>
        <w:t>四、申请要求及注意事项</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（一）申请条件</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本专项项目申请人应当具备以下条件：</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具有承担基础研究课题的经历。</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具有高级专业技术职务（职称）。</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在站博士后研究人员、正在攻读研究生学位以及无工作单位或者所在单位不是依托单位的人员不得作为申请人进行申请。</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（二）限项申请规定</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本专项项目从申请开始直到自然科学基金委作出资助与否决定之前，不计入高级专业技术职务（职称）人员申请和承担总数</w:t>
      </w:r>
      <w:r>
        <w:rPr>
          <w:rFonts w:ascii="仿宋" w:eastAsia="仿宋" w:hAnsi="仿宋" w:cs="Times New Roman" w:hint="eastAsia"/>
          <w:sz w:val="32"/>
          <w:szCs w:val="32"/>
        </w:rPr>
        <w:t>2</w:t>
      </w:r>
      <w:r>
        <w:rPr>
          <w:rFonts w:ascii="仿宋" w:eastAsia="仿宋" w:hAnsi="仿宋" w:cs="Times New Roman" w:hint="eastAsia"/>
          <w:sz w:val="32"/>
          <w:szCs w:val="32"/>
        </w:rPr>
        <w:t>项的范围；获资助后计入高级专业技术职务（职称）人员申请和承担总数的范围。</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申请人和参与者只能申请或参与申请</w:t>
      </w:r>
      <w:r>
        <w:rPr>
          <w:rFonts w:ascii="仿宋" w:eastAsia="仿宋" w:hAnsi="仿宋" w:cs="Times New Roman" w:hint="eastAsia"/>
          <w:sz w:val="32"/>
          <w:szCs w:val="32"/>
        </w:rPr>
        <w:t>1</w:t>
      </w:r>
      <w:r>
        <w:rPr>
          <w:rFonts w:ascii="仿宋" w:eastAsia="仿宋" w:hAnsi="仿宋" w:cs="Times New Roman" w:hint="eastAsia"/>
          <w:sz w:val="32"/>
          <w:szCs w:val="32"/>
        </w:rPr>
        <w:t>项本专项项目。</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hint="eastAsia"/>
          <w:sz w:val="32"/>
          <w:szCs w:val="32"/>
        </w:rPr>
        <w:t>申请人同年只能申请</w:t>
      </w:r>
      <w:r>
        <w:rPr>
          <w:rFonts w:ascii="仿宋" w:eastAsia="仿宋" w:hAnsi="仿宋" w:cs="Times New Roman" w:hint="eastAsia"/>
          <w:sz w:val="32"/>
          <w:szCs w:val="32"/>
        </w:rPr>
        <w:t>1</w:t>
      </w:r>
      <w:r>
        <w:rPr>
          <w:rFonts w:ascii="仿宋" w:eastAsia="仿宋" w:hAnsi="仿宋" w:cs="Times New Roman" w:hint="eastAsia"/>
          <w:sz w:val="32"/>
          <w:szCs w:val="32"/>
        </w:rPr>
        <w:t>项专项项目中的研究项目。</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（三）申请注意事项</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申请接收时间为</w:t>
      </w:r>
      <w:r>
        <w:rPr>
          <w:rFonts w:ascii="仿宋" w:eastAsia="仿宋" w:hAnsi="仿宋" w:cs="Times New Roman" w:hint="eastAsia"/>
          <w:sz w:val="32"/>
          <w:szCs w:val="32"/>
        </w:rPr>
        <w:t>2023</w:t>
      </w:r>
      <w:r>
        <w:rPr>
          <w:rFonts w:ascii="仿宋" w:eastAsia="仿宋" w:hAnsi="仿宋" w:cs="Times New Roman" w:hint="eastAsia"/>
          <w:sz w:val="32"/>
          <w:szCs w:val="32"/>
        </w:rPr>
        <w:t>年</w:t>
      </w:r>
      <w:r>
        <w:rPr>
          <w:rFonts w:ascii="仿宋" w:eastAsia="仿宋" w:hAnsi="仿宋" w:cs="Times New Roman" w:hint="eastAsia"/>
          <w:sz w:val="32"/>
          <w:szCs w:val="32"/>
        </w:rPr>
        <w:t>7</w:t>
      </w:r>
      <w:r>
        <w:rPr>
          <w:rFonts w:ascii="仿宋" w:eastAsia="仿宋" w:hAnsi="仿宋" w:cs="Times New Roman" w:hint="eastAsia"/>
          <w:sz w:val="32"/>
          <w:szCs w:val="32"/>
        </w:rPr>
        <w:t>月</w:t>
      </w:r>
      <w:r>
        <w:rPr>
          <w:rFonts w:ascii="仿宋" w:eastAsia="仿宋" w:hAnsi="仿宋" w:cs="Times New Roman" w:hint="eastAsia"/>
          <w:sz w:val="32"/>
          <w:szCs w:val="32"/>
        </w:rPr>
        <w:t>1</w:t>
      </w:r>
      <w:r>
        <w:rPr>
          <w:rFonts w:ascii="仿宋" w:eastAsia="仿宋" w:hAnsi="仿宋" w:cs="Times New Roman"/>
          <w:sz w:val="32"/>
          <w:szCs w:val="32"/>
        </w:rPr>
        <w:t>日</w:t>
      </w:r>
      <w:r>
        <w:rPr>
          <w:rFonts w:ascii="仿宋" w:eastAsia="仿宋" w:hAnsi="仿宋" w:cs="Times New Roman"/>
          <w:sz w:val="32"/>
          <w:szCs w:val="32"/>
        </w:rPr>
        <w:t>-</w:t>
      </w:r>
      <w:r>
        <w:rPr>
          <w:rFonts w:ascii="仿宋" w:eastAsia="仿宋" w:hAnsi="仿宋" w:cs="Times New Roman" w:hint="eastAsia"/>
          <w:sz w:val="32"/>
          <w:szCs w:val="32"/>
        </w:rPr>
        <w:t>2023</w:t>
      </w:r>
      <w:r>
        <w:rPr>
          <w:rFonts w:ascii="仿宋" w:eastAsia="仿宋" w:hAnsi="仿宋" w:cs="Times New Roman" w:hint="eastAsia"/>
          <w:sz w:val="32"/>
          <w:szCs w:val="32"/>
        </w:rPr>
        <w:t>年</w:t>
      </w:r>
      <w:r>
        <w:rPr>
          <w:rFonts w:ascii="仿宋" w:eastAsia="仿宋" w:hAnsi="仿宋" w:cs="Times New Roman" w:hint="eastAsia"/>
          <w:sz w:val="32"/>
          <w:szCs w:val="32"/>
        </w:rPr>
        <w:t>7</w:t>
      </w:r>
      <w:r>
        <w:rPr>
          <w:rFonts w:ascii="仿宋" w:eastAsia="仿宋" w:hAnsi="仿宋" w:cs="Times New Roman" w:hint="eastAsia"/>
          <w:sz w:val="32"/>
          <w:szCs w:val="32"/>
        </w:rPr>
        <w:t>月</w:t>
      </w:r>
      <w:r>
        <w:rPr>
          <w:rFonts w:ascii="仿宋" w:eastAsia="仿宋" w:hAnsi="仿宋" w:cs="Times New Roman" w:hint="eastAsia"/>
          <w:sz w:val="32"/>
          <w:szCs w:val="32"/>
        </w:rPr>
        <w:t>7</w:t>
      </w:r>
      <w:r>
        <w:rPr>
          <w:rFonts w:ascii="仿宋" w:eastAsia="仿宋" w:hAnsi="仿宋" w:cs="Times New Roman" w:hint="eastAsia"/>
          <w:sz w:val="32"/>
          <w:szCs w:val="32"/>
        </w:rPr>
        <w:t>日</w:t>
      </w:r>
      <w:r>
        <w:rPr>
          <w:rFonts w:ascii="仿宋" w:eastAsia="仿宋" w:hAnsi="仿宋" w:cs="Times New Roman" w:hint="eastAsia"/>
          <w:sz w:val="32"/>
          <w:szCs w:val="32"/>
        </w:rPr>
        <w:t>16</w:t>
      </w:r>
      <w:r>
        <w:rPr>
          <w:rFonts w:ascii="仿宋" w:eastAsia="仿宋" w:hAnsi="仿宋" w:cs="Times New Roman" w:hint="eastAsia"/>
          <w:sz w:val="32"/>
          <w:szCs w:val="32"/>
        </w:rPr>
        <w:lastRenderedPageBreak/>
        <w:t>时。</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本专项项目申请书采用在线方式撰写。对申请人具体要求如下：</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1</w:t>
      </w:r>
      <w:r>
        <w:rPr>
          <w:rFonts w:ascii="仿宋" w:eastAsia="仿宋" w:hAnsi="仿宋" w:cs="Times New Roman" w:hint="eastAsia"/>
          <w:sz w:val="32"/>
          <w:szCs w:val="32"/>
        </w:rPr>
        <w:t>）申请人在填报申请书前，应当认真阅读本专项项目指南和《</w:t>
      </w:r>
      <w:r>
        <w:rPr>
          <w:rFonts w:ascii="仿宋" w:eastAsia="仿宋" w:hAnsi="仿宋" w:cs="Times New Roman" w:hint="eastAsia"/>
          <w:sz w:val="32"/>
          <w:szCs w:val="32"/>
        </w:rPr>
        <w:t>2023</w:t>
      </w:r>
      <w:r>
        <w:rPr>
          <w:rFonts w:ascii="仿宋" w:eastAsia="仿宋" w:hAnsi="仿宋" w:cs="Times New Roman" w:hint="eastAsia"/>
          <w:sz w:val="32"/>
          <w:szCs w:val="32"/>
        </w:rPr>
        <w:t>年度国家自然科学基金项目指南》的相关内容，不符合项目指南和相关要求的申请项目不予受理。</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2</w:t>
      </w:r>
      <w:r>
        <w:rPr>
          <w:rFonts w:ascii="仿宋" w:eastAsia="仿宋" w:hAnsi="仿宋" w:cs="Times New Roman" w:hint="eastAsia"/>
          <w:sz w:val="32"/>
          <w:szCs w:val="32"/>
        </w:rPr>
        <w:t>）申请人应围绕本项目指南公布的研究方向撰写申请书，提出明确的关键科学问题，阐述拟开展的研究内容、研究方案及经费预算等。</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3</w:t>
      </w:r>
      <w:r>
        <w:rPr>
          <w:rFonts w:ascii="仿宋" w:eastAsia="仿宋" w:hAnsi="仿宋" w:cs="Times New Roman" w:hint="eastAsia"/>
          <w:sz w:val="32"/>
          <w:szCs w:val="32"/>
        </w:rPr>
        <w:t>）申请人登录科学基金网络信息系统</w:t>
      </w:r>
      <w:r>
        <w:rPr>
          <w:rFonts w:ascii="仿宋" w:eastAsia="仿宋" w:hAnsi="仿宋" w:cs="Times New Roman" w:hint="eastAsia"/>
          <w:sz w:val="32"/>
          <w:szCs w:val="32"/>
        </w:rPr>
        <w:t>http://grants.nsfc.gov.cn/</w:t>
      </w:r>
      <w:r>
        <w:rPr>
          <w:rFonts w:ascii="仿宋" w:eastAsia="仿宋" w:hAnsi="仿宋" w:cs="Times New Roman" w:hint="eastAsia"/>
          <w:sz w:val="32"/>
          <w:szCs w:val="32"/>
        </w:rPr>
        <w:t>（没有系统账号的申请人请向依托单位基金管理联系人申请开户），按照撰写提纲及相关要求撰写申请书。</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4</w:t>
      </w:r>
      <w:r>
        <w:rPr>
          <w:rFonts w:ascii="仿宋" w:eastAsia="仿宋" w:hAnsi="仿宋" w:cs="Times New Roman" w:hint="eastAsia"/>
          <w:sz w:val="32"/>
          <w:szCs w:val="32"/>
        </w:rPr>
        <w:t>）申请书中的资助类别选择</w:t>
      </w:r>
      <w:r>
        <w:rPr>
          <w:rFonts w:ascii="仿宋" w:eastAsia="仿宋" w:hAnsi="仿宋" w:cs="Times New Roman"/>
          <w:sz w:val="32"/>
          <w:szCs w:val="32"/>
        </w:rPr>
        <w:t>“</w:t>
      </w:r>
      <w:r>
        <w:rPr>
          <w:rFonts w:ascii="仿宋" w:eastAsia="仿宋" w:hAnsi="仿宋" w:cs="Times New Roman" w:hint="eastAsia"/>
          <w:sz w:val="32"/>
          <w:szCs w:val="32"/>
        </w:rPr>
        <w:t>专项项目</w:t>
      </w:r>
      <w:r>
        <w:rPr>
          <w:rFonts w:ascii="仿宋" w:eastAsia="仿宋" w:hAnsi="仿宋" w:cs="Times New Roman"/>
          <w:sz w:val="32"/>
          <w:szCs w:val="32"/>
        </w:rPr>
        <w:t>”</w:t>
      </w:r>
      <w:r>
        <w:rPr>
          <w:rFonts w:ascii="仿宋" w:eastAsia="仿宋" w:hAnsi="仿宋" w:cs="Times New Roman" w:hint="eastAsia"/>
          <w:sz w:val="32"/>
          <w:szCs w:val="32"/>
        </w:rPr>
        <w:t>，亚类说明选择</w:t>
      </w:r>
      <w:r>
        <w:rPr>
          <w:rFonts w:ascii="仿宋" w:eastAsia="仿宋" w:hAnsi="仿宋" w:cs="Times New Roman"/>
          <w:sz w:val="32"/>
          <w:szCs w:val="32"/>
        </w:rPr>
        <w:t>“</w:t>
      </w:r>
      <w:r>
        <w:rPr>
          <w:rFonts w:ascii="仿宋" w:eastAsia="仿宋" w:hAnsi="仿宋" w:cs="Times New Roman" w:hint="eastAsia"/>
          <w:sz w:val="32"/>
          <w:szCs w:val="32"/>
        </w:rPr>
        <w:t>研究项目</w:t>
      </w:r>
      <w:r>
        <w:rPr>
          <w:rFonts w:ascii="仿宋" w:eastAsia="仿宋" w:hAnsi="仿宋" w:cs="Times New Roman"/>
          <w:sz w:val="32"/>
          <w:szCs w:val="32"/>
        </w:rPr>
        <w:t>”</w:t>
      </w:r>
      <w:r>
        <w:rPr>
          <w:rFonts w:ascii="仿宋" w:eastAsia="仿宋" w:hAnsi="仿宋" w:cs="Times New Roman" w:hint="eastAsia"/>
          <w:sz w:val="32"/>
          <w:szCs w:val="32"/>
        </w:rPr>
        <w:t>，附注说明选择</w:t>
      </w:r>
      <w:r>
        <w:rPr>
          <w:rFonts w:ascii="仿宋" w:eastAsia="仿宋" w:hAnsi="仿宋" w:cs="Times New Roman"/>
          <w:sz w:val="32"/>
          <w:szCs w:val="32"/>
        </w:rPr>
        <w:t>“</w:t>
      </w:r>
      <w:r>
        <w:rPr>
          <w:rFonts w:ascii="仿宋" w:eastAsia="仿宋" w:hAnsi="仿宋" w:cs="Times New Roman" w:hint="eastAsia"/>
          <w:sz w:val="32"/>
          <w:szCs w:val="32"/>
        </w:rPr>
        <w:t>科学部综合研究项目</w:t>
      </w:r>
      <w:r>
        <w:rPr>
          <w:rFonts w:ascii="仿宋" w:eastAsia="仿宋" w:hAnsi="仿宋" w:cs="Times New Roman"/>
          <w:sz w:val="32"/>
          <w:szCs w:val="32"/>
        </w:rPr>
        <w:t>”</w:t>
      </w:r>
      <w:r>
        <w:rPr>
          <w:rFonts w:ascii="仿宋" w:eastAsia="仿宋" w:hAnsi="仿宋" w:cs="Times New Roman" w:hint="eastAsia"/>
          <w:sz w:val="32"/>
          <w:szCs w:val="32"/>
        </w:rPr>
        <w:t>，申请代码</w:t>
      </w:r>
      <w:r>
        <w:rPr>
          <w:rFonts w:ascii="仿宋" w:eastAsia="仿宋" w:hAnsi="仿宋" w:cs="Times New Roman" w:hint="eastAsia"/>
          <w:sz w:val="32"/>
          <w:szCs w:val="32"/>
        </w:rPr>
        <w:t>1</w:t>
      </w:r>
      <w:r>
        <w:rPr>
          <w:rFonts w:ascii="仿宋" w:eastAsia="仿宋" w:hAnsi="仿宋" w:cs="Times New Roman" w:hint="eastAsia"/>
          <w:sz w:val="32"/>
          <w:szCs w:val="32"/>
        </w:rPr>
        <w:t>选择</w:t>
      </w:r>
      <w:r>
        <w:rPr>
          <w:rFonts w:ascii="仿宋" w:eastAsia="仿宋" w:hAnsi="仿宋" w:cs="Times New Roman"/>
          <w:sz w:val="32"/>
          <w:szCs w:val="32"/>
        </w:rPr>
        <w:t>“</w:t>
      </w:r>
      <w:r>
        <w:rPr>
          <w:rFonts w:ascii="仿宋" w:eastAsia="仿宋" w:hAnsi="仿宋" w:cs="Times New Roman" w:hint="eastAsia"/>
          <w:sz w:val="32"/>
          <w:szCs w:val="32"/>
        </w:rPr>
        <w:t>H21</w:t>
      </w:r>
      <w:r>
        <w:rPr>
          <w:rFonts w:ascii="仿宋" w:eastAsia="仿宋" w:hAnsi="仿宋" w:cs="Times New Roman" w:hint="eastAsia"/>
          <w:sz w:val="32"/>
          <w:szCs w:val="32"/>
        </w:rPr>
        <w:t>”，申请代码</w:t>
      </w:r>
      <w:r>
        <w:rPr>
          <w:rFonts w:ascii="仿宋" w:eastAsia="仿宋" w:hAnsi="仿宋" w:cs="Times New Roman" w:hint="eastAsia"/>
          <w:sz w:val="32"/>
          <w:szCs w:val="32"/>
        </w:rPr>
        <w:t>2</w:t>
      </w:r>
      <w:r>
        <w:rPr>
          <w:rFonts w:ascii="仿宋" w:eastAsia="仿宋" w:hAnsi="仿宋" w:cs="Times New Roman" w:hint="eastAsia"/>
          <w:sz w:val="32"/>
          <w:szCs w:val="32"/>
        </w:rPr>
        <w:t>根据项目研究所涉及的领域自行选择相应学科申请代码。</w:t>
      </w:r>
      <w:r>
        <w:rPr>
          <w:rFonts w:ascii="仿宋" w:eastAsia="仿宋" w:hAnsi="仿宋" w:cs="Times New Roman" w:hint="eastAsia"/>
          <w:b/>
          <w:bCs/>
          <w:sz w:val="32"/>
          <w:szCs w:val="32"/>
        </w:rPr>
        <w:t>以上选择不准确或未选择的项目申请不予资助。</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5</w:t>
      </w:r>
      <w:r>
        <w:rPr>
          <w:rFonts w:ascii="仿宋" w:eastAsia="仿宋" w:hAnsi="仿宋" w:cs="Times New Roman" w:hint="eastAsia"/>
          <w:sz w:val="32"/>
          <w:szCs w:val="32"/>
        </w:rPr>
        <w:t>）本专项项目的合作研究单位数合计不得超过</w:t>
      </w:r>
      <w:r>
        <w:rPr>
          <w:rFonts w:ascii="仿宋" w:eastAsia="仿宋" w:hAnsi="仿宋" w:cs="Times New Roman" w:hint="eastAsia"/>
          <w:sz w:val="32"/>
          <w:szCs w:val="32"/>
        </w:rPr>
        <w:t>2</w:t>
      </w:r>
      <w:r>
        <w:rPr>
          <w:rFonts w:ascii="仿宋" w:eastAsia="仿宋" w:hAnsi="仿宋" w:cs="Times New Roman" w:hint="eastAsia"/>
          <w:sz w:val="32"/>
          <w:szCs w:val="32"/>
        </w:rPr>
        <w:t>个；主要参与者必须是项目的实际贡献者。</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6</w:t>
      </w:r>
      <w:r>
        <w:rPr>
          <w:rFonts w:ascii="仿宋" w:eastAsia="仿宋" w:hAnsi="仿宋" w:cs="Times New Roman" w:hint="eastAsia"/>
          <w:sz w:val="32"/>
          <w:szCs w:val="32"/>
        </w:rPr>
        <w:t>）申请书应突出有限目标和重点突破，明确对</w:t>
      </w:r>
      <w:r>
        <w:rPr>
          <w:rFonts w:ascii="仿宋" w:eastAsia="仿宋" w:hAnsi="仿宋" w:cs="Times New Roman" w:hint="eastAsia"/>
          <w:sz w:val="32"/>
          <w:szCs w:val="32"/>
        </w:rPr>
        <w:t>实现本专项项目总体目标和解决核心科学问题的贡献。</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lastRenderedPageBreak/>
        <w:t>如果申请人已经承担与本专项项目相关的其他科技计划项目，应当在申请书正文</w:t>
      </w:r>
      <w:r>
        <w:rPr>
          <w:rFonts w:ascii="仿宋" w:eastAsia="仿宋" w:hAnsi="仿宋" w:cs="Times New Roman"/>
          <w:sz w:val="32"/>
          <w:szCs w:val="32"/>
        </w:rPr>
        <w:t>“</w:t>
      </w:r>
      <w:r>
        <w:rPr>
          <w:rFonts w:ascii="仿宋" w:eastAsia="仿宋" w:hAnsi="仿宋" w:cs="Times New Roman" w:hint="eastAsia"/>
          <w:sz w:val="32"/>
          <w:szCs w:val="32"/>
        </w:rPr>
        <w:t>研究基础与工作条件</w:t>
      </w:r>
      <w:r>
        <w:rPr>
          <w:rFonts w:ascii="仿宋" w:eastAsia="仿宋" w:hAnsi="仿宋" w:cs="Times New Roman"/>
          <w:sz w:val="32"/>
          <w:szCs w:val="32"/>
        </w:rPr>
        <w:t>”</w:t>
      </w:r>
      <w:r>
        <w:rPr>
          <w:rFonts w:ascii="仿宋" w:eastAsia="仿宋" w:hAnsi="仿宋" w:cs="Times New Roman" w:hint="eastAsia"/>
          <w:sz w:val="32"/>
          <w:szCs w:val="32"/>
        </w:rPr>
        <w:t>部分论述申请项目与其他相关项目的区别与联系。</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7</w:t>
      </w:r>
      <w:r>
        <w:rPr>
          <w:rFonts w:ascii="仿宋" w:eastAsia="仿宋" w:hAnsi="仿宋" w:cs="Times New Roman" w:hint="eastAsia"/>
          <w:sz w:val="32"/>
          <w:szCs w:val="32"/>
        </w:rPr>
        <w:t>）涉及“高致病性病原微生物”研究内容的课题，申请人和依托单位必须严格遵守相关规定，在具备相应的安全条件下方可提出申请。申请人所在依托单位及合作研究单位需提供项目研究不产生生物安全风险的证明材料，未按规定提供相关生物安全证明材料的项目申请将不予受理。涉及人与动物的生物医学研究，必须严格遵守国家和有关部委关于“伦理和生物安</w:t>
      </w:r>
      <w:r>
        <w:rPr>
          <w:rFonts w:ascii="仿宋" w:eastAsia="仿宋" w:hAnsi="仿宋" w:cs="Times New Roman" w:hint="eastAsia"/>
          <w:sz w:val="32"/>
          <w:szCs w:val="32"/>
        </w:rPr>
        <w:t>全”的有关规定，申请人必须提供所在单位或上级主管单位伦理委员会的审核证明。涉及人类遗传资源研究的，申请人和依托单位应严格遵守</w:t>
      </w:r>
      <w:r>
        <w:rPr>
          <w:rFonts w:ascii="仿宋" w:eastAsia="仿宋" w:hAnsi="仿宋" w:cs="Times New Roman" w:hint="eastAsia"/>
          <w:sz w:val="32"/>
          <w:szCs w:val="32"/>
        </w:rPr>
        <w:t>2019</w:t>
      </w:r>
      <w:r>
        <w:rPr>
          <w:rFonts w:ascii="仿宋" w:eastAsia="仿宋" w:hAnsi="仿宋" w:cs="Times New Roman" w:hint="eastAsia"/>
          <w:sz w:val="32"/>
          <w:szCs w:val="32"/>
        </w:rPr>
        <w:t>年</w:t>
      </w:r>
      <w:r>
        <w:rPr>
          <w:rFonts w:ascii="仿宋" w:eastAsia="仿宋" w:hAnsi="仿宋" w:cs="Times New Roman" w:hint="eastAsia"/>
          <w:sz w:val="32"/>
          <w:szCs w:val="32"/>
        </w:rPr>
        <w:t>7</w:t>
      </w:r>
      <w:r>
        <w:rPr>
          <w:rFonts w:ascii="仿宋" w:eastAsia="仿宋" w:hAnsi="仿宋" w:cs="Times New Roman" w:hint="eastAsia"/>
          <w:sz w:val="32"/>
          <w:szCs w:val="32"/>
        </w:rPr>
        <w:t>月</w:t>
      </w:r>
      <w:r>
        <w:rPr>
          <w:rFonts w:ascii="仿宋" w:eastAsia="仿宋" w:hAnsi="仿宋" w:cs="Times New Roman" w:hint="eastAsia"/>
          <w:sz w:val="32"/>
          <w:szCs w:val="32"/>
        </w:rPr>
        <w:t>1</w:t>
      </w:r>
      <w:r>
        <w:rPr>
          <w:rFonts w:ascii="仿宋" w:eastAsia="仿宋" w:hAnsi="仿宋" w:cs="Times New Roman" w:hint="eastAsia"/>
          <w:sz w:val="32"/>
          <w:szCs w:val="32"/>
        </w:rPr>
        <w:t>日起施行的《中华人民共和国人类遗传资源管理条例》的相关规定。</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8</w:t>
      </w:r>
      <w:r>
        <w:rPr>
          <w:rFonts w:ascii="仿宋" w:eastAsia="仿宋" w:hAnsi="仿宋" w:cs="Times New Roman" w:hint="eastAsia"/>
          <w:sz w:val="32"/>
          <w:szCs w:val="32"/>
        </w:rPr>
        <w:t>）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9</w:t>
      </w:r>
      <w:r>
        <w:rPr>
          <w:rFonts w:ascii="仿宋" w:eastAsia="仿宋" w:hAnsi="仿宋" w:cs="Times New Roman" w:hint="eastAsia"/>
          <w:sz w:val="32"/>
          <w:szCs w:val="32"/>
        </w:rPr>
        <w:t>）本专项项目实行无纸化申请，申请人完成申请书撰写后</w:t>
      </w:r>
      <w:r>
        <w:rPr>
          <w:rFonts w:ascii="仿宋" w:eastAsia="仿宋" w:hAnsi="仿宋" w:cs="Times New Roman" w:hint="eastAsia"/>
          <w:sz w:val="32"/>
          <w:szCs w:val="32"/>
        </w:rPr>
        <w:t>，在线提交电子申请书及附件材料。依托单位只需在线确认电子申请书及附件材料，无须报送纸质申请书，但应对</w:t>
      </w:r>
      <w:r>
        <w:rPr>
          <w:rFonts w:ascii="仿宋" w:eastAsia="仿宋" w:hAnsi="仿宋" w:cs="Times New Roman" w:hint="eastAsia"/>
          <w:sz w:val="32"/>
          <w:szCs w:val="32"/>
        </w:rPr>
        <w:lastRenderedPageBreak/>
        <w:t>本单位申请人所提交申请材料的真实性和完整性进行认真审核，</w:t>
      </w:r>
      <w:r>
        <w:rPr>
          <w:rFonts w:ascii="仿宋" w:eastAsia="仿宋" w:hAnsi="仿宋" w:cs="Times New Roman" w:hint="eastAsia"/>
          <w:b/>
          <w:bCs/>
          <w:sz w:val="32"/>
          <w:szCs w:val="32"/>
        </w:rPr>
        <w:t>在项目申请接收截止时间</w:t>
      </w:r>
      <w:r>
        <w:rPr>
          <w:rFonts w:ascii="仿宋" w:eastAsia="仿宋" w:hAnsi="仿宋" w:cs="Times New Roman" w:hint="eastAsia"/>
          <w:sz w:val="32"/>
          <w:szCs w:val="32"/>
        </w:rPr>
        <w:t>（</w:t>
      </w:r>
      <w:r>
        <w:rPr>
          <w:rFonts w:ascii="仿宋" w:eastAsia="仿宋" w:hAnsi="仿宋" w:cs="Times New Roman" w:hint="eastAsia"/>
          <w:sz w:val="32"/>
          <w:szCs w:val="32"/>
        </w:rPr>
        <w:t>2023</w:t>
      </w:r>
      <w:r>
        <w:rPr>
          <w:rFonts w:ascii="仿宋" w:eastAsia="仿宋" w:hAnsi="仿宋" w:cs="Times New Roman" w:hint="eastAsia"/>
          <w:sz w:val="32"/>
          <w:szCs w:val="32"/>
        </w:rPr>
        <w:t>年</w:t>
      </w:r>
      <w:r>
        <w:rPr>
          <w:rFonts w:ascii="仿宋" w:eastAsia="仿宋" w:hAnsi="仿宋" w:cs="Times New Roman" w:hint="eastAsia"/>
          <w:sz w:val="32"/>
          <w:szCs w:val="32"/>
        </w:rPr>
        <w:t>7</w:t>
      </w:r>
      <w:r>
        <w:rPr>
          <w:rFonts w:ascii="仿宋" w:eastAsia="仿宋" w:hAnsi="仿宋" w:cs="Times New Roman" w:hint="eastAsia"/>
          <w:sz w:val="32"/>
          <w:szCs w:val="32"/>
        </w:rPr>
        <w:t>月</w:t>
      </w:r>
      <w:r>
        <w:rPr>
          <w:rFonts w:ascii="仿宋" w:eastAsia="仿宋" w:hAnsi="仿宋" w:cs="Times New Roman" w:hint="eastAsia"/>
          <w:sz w:val="32"/>
          <w:szCs w:val="32"/>
        </w:rPr>
        <w:t>7</w:t>
      </w:r>
      <w:r>
        <w:rPr>
          <w:rFonts w:ascii="仿宋" w:eastAsia="仿宋" w:hAnsi="仿宋" w:cs="Times New Roman" w:hint="eastAsia"/>
          <w:sz w:val="32"/>
          <w:szCs w:val="32"/>
        </w:rPr>
        <w:t>日</w:t>
      </w:r>
      <w:r>
        <w:rPr>
          <w:rFonts w:ascii="仿宋" w:eastAsia="仿宋" w:hAnsi="仿宋" w:cs="Times New Roman" w:hint="eastAsia"/>
          <w:sz w:val="32"/>
          <w:szCs w:val="32"/>
        </w:rPr>
        <w:t>16</w:t>
      </w:r>
      <w:r>
        <w:rPr>
          <w:rFonts w:ascii="仿宋" w:eastAsia="仿宋" w:hAnsi="仿宋" w:cs="Times New Roman" w:hint="eastAsia"/>
          <w:sz w:val="32"/>
          <w:szCs w:val="32"/>
        </w:rPr>
        <w:t>时）</w:t>
      </w:r>
      <w:r>
        <w:rPr>
          <w:rFonts w:ascii="仿宋" w:eastAsia="仿宋" w:hAnsi="仿宋" w:cs="Times New Roman" w:hint="eastAsia"/>
          <w:b/>
          <w:bCs/>
          <w:sz w:val="32"/>
          <w:szCs w:val="32"/>
        </w:rPr>
        <w:t>前通过信息系统逐项确认提交本单位电子申请书及附件材料；在截止时间后</w:t>
      </w:r>
      <w:r>
        <w:rPr>
          <w:rFonts w:ascii="仿宋" w:eastAsia="仿宋" w:hAnsi="仿宋" w:cs="Times New Roman" w:hint="eastAsia"/>
          <w:b/>
          <w:bCs/>
          <w:sz w:val="32"/>
          <w:szCs w:val="32"/>
        </w:rPr>
        <w:t>24</w:t>
      </w:r>
      <w:r>
        <w:rPr>
          <w:rFonts w:ascii="仿宋" w:eastAsia="仿宋" w:hAnsi="仿宋" w:cs="Times New Roman" w:hint="eastAsia"/>
          <w:b/>
          <w:bCs/>
          <w:sz w:val="32"/>
          <w:szCs w:val="32"/>
        </w:rPr>
        <w:t>小时内在线提交本单位申请项目清单。</w:t>
      </w:r>
      <w:r>
        <w:rPr>
          <w:rFonts w:ascii="仿宋" w:eastAsia="仿宋" w:hAnsi="仿宋" w:cs="Times New Roman" w:hint="eastAsia"/>
          <w:sz w:val="32"/>
          <w:szCs w:val="32"/>
        </w:rPr>
        <w:t>项目获批准后，依托单位将申请书的纸质签字盖章页装订在《资助项目计划书》最后，在规定的时间内按要求一并提交。</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（四）其他注意事项</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自然科学基金委将在官方网站公布资助专项项目基本信息，并将相关项目负责人</w:t>
      </w:r>
      <w:r>
        <w:rPr>
          <w:rFonts w:ascii="仿宋" w:eastAsia="仿宋" w:hAnsi="仿宋" w:cs="Times New Roman" w:hint="eastAsia"/>
          <w:sz w:val="32"/>
          <w:szCs w:val="32"/>
        </w:rPr>
        <w:t>项目执行情况计入信誉档案。</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专项项目负责人应认真将主要精力投入专项项目的研究中；依托单位应加强对专项项目实施的监督、管理和服务，减轻项目负责人不必要的负担，为项目研究提供必要的制度和条件保障。为更好实现总体目标，项目负责人应积极参加专项组织的学术交流活动。</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hint="eastAsia"/>
          <w:sz w:val="32"/>
          <w:szCs w:val="32"/>
        </w:rPr>
        <w:t>本专项项目咨询方式：</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国家自然科学基金委员会医学科学部医学科学六处</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联系人：方冬</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联系电话：</w:t>
      </w:r>
      <w:r>
        <w:rPr>
          <w:rFonts w:ascii="仿宋" w:eastAsia="仿宋" w:hAnsi="仿宋" w:cs="Times New Roman" w:hint="eastAsia"/>
          <w:sz w:val="32"/>
          <w:szCs w:val="32"/>
        </w:rPr>
        <w:t>010-62327465</w:t>
      </w:r>
    </w:p>
    <w:p w:rsidR="00083BEB" w:rsidRDefault="0010758A">
      <w:pPr>
        <w:spacing w:line="276" w:lineRule="auto"/>
        <w:ind w:firstLine="480"/>
        <w:rPr>
          <w:rFonts w:ascii="仿宋" w:eastAsia="仿宋" w:hAnsi="仿宋" w:cs="Times New Roman"/>
          <w:sz w:val="32"/>
          <w:szCs w:val="32"/>
        </w:rPr>
      </w:pPr>
      <w:r>
        <w:rPr>
          <w:rFonts w:ascii="仿宋" w:eastAsia="仿宋" w:hAnsi="仿宋" w:cs="Times New Roman" w:hint="eastAsia"/>
          <w:sz w:val="32"/>
          <w:szCs w:val="32"/>
        </w:rPr>
        <w:t>电子邮箱：</w:t>
      </w:r>
      <w:r>
        <w:rPr>
          <w:rFonts w:ascii="仿宋" w:eastAsia="仿宋" w:hAnsi="仿宋" w:cs="Times New Roman" w:hint="eastAsia"/>
          <w:sz w:val="32"/>
          <w:szCs w:val="32"/>
        </w:rPr>
        <w:t>fangdong@nsfc.gov.cn</w:t>
      </w:r>
    </w:p>
    <w:sectPr w:rsidR="00083B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58A" w:rsidRDefault="0010758A">
      <w:r>
        <w:separator/>
      </w:r>
    </w:p>
  </w:endnote>
  <w:endnote w:type="continuationSeparator" w:id="0">
    <w:p w:rsidR="0010758A" w:rsidRDefault="0010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YaHei-Bold">
    <w:altName w:val="微软雅黑"/>
    <w:charset w:val="86"/>
    <w:family w:val="auto"/>
    <w:pitch w:val="default"/>
    <w:sig w:usb0="00000000" w:usb1="0000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730055"/>
    </w:sdtPr>
    <w:sdtEndPr/>
    <w:sdtContent>
      <w:p w:rsidR="00083BEB" w:rsidRDefault="0010758A">
        <w:pPr>
          <w:pStyle w:val="a7"/>
          <w:jc w:val="center"/>
        </w:pPr>
        <w:r>
          <w:fldChar w:fldCharType="begin"/>
        </w:r>
        <w:r>
          <w:instrText>PAGE   \* MERGEFORMAT</w:instrText>
        </w:r>
        <w:r>
          <w:fldChar w:fldCharType="separate"/>
        </w:r>
        <w:r w:rsidR="006A2EAE" w:rsidRPr="006A2EAE">
          <w:rPr>
            <w:noProof/>
            <w:lang w:val="zh-CN"/>
          </w:rPr>
          <w:t>2</w:t>
        </w:r>
        <w:r>
          <w:fldChar w:fldCharType="end"/>
        </w:r>
      </w:p>
    </w:sdtContent>
  </w:sdt>
  <w:p w:rsidR="00083BEB" w:rsidRDefault="00083BE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58A" w:rsidRDefault="0010758A">
      <w:r>
        <w:separator/>
      </w:r>
    </w:p>
  </w:footnote>
  <w:footnote w:type="continuationSeparator" w:id="0">
    <w:p w:rsidR="0010758A" w:rsidRDefault="00107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062031"/>
    <w:rsid w:val="0000534B"/>
    <w:rsid w:val="0001051F"/>
    <w:rsid w:val="00036192"/>
    <w:rsid w:val="0004167D"/>
    <w:rsid w:val="0004564A"/>
    <w:rsid w:val="00062031"/>
    <w:rsid w:val="0007247E"/>
    <w:rsid w:val="00083BEB"/>
    <w:rsid w:val="00093C69"/>
    <w:rsid w:val="000C5074"/>
    <w:rsid w:val="000C7DC5"/>
    <w:rsid w:val="000E49CA"/>
    <w:rsid w:val="001021B6"/>
    <w:rsid w:val="0010460B"/>
    <w:rsid w:val="0010758A"/>
    <w:rsid w:val="00117714"/>
    <w:rsid w:val="001811E5"/>
    <w:rsid w:val="00184830"/>
    <w:rsid w:val="00194FDE"/>
    <w:rsid w:val="001A00F2"/>
    <w:rsid w:val="001A6BA8"/>
    <w:rsid w:val="001B18DD"/>
    <w:rsid w:val="001C3645"/>
    <w:rsid w:val="001C38AE"/>
    <w:rsid w:val="001C47FB"/>
    <w:rsid w:val="001E353D"/>
    <w:rsid w:val="001F339A"/>
    <w:rsid w:val="002103CC"/>
    <w:rsid w:val="00214B9F"/>
    <w:rsid w:val="00230AF7"/>
    <w:rsid w:val="002503B1"/>
    <w:rsid w:val="00252A35"/>
    <w:rsid w:val="00262971"/>
    <w:rsid w:val="002667EE"/>
    <w:rsid w:val="002710B5"/>
    <w:rsid w:val="0028329E"/>
    <w:rsid w:val="00283803"/>
    <w:rsid w:val="002847F8"/>
    <w:rsid w:val="00292B59"/>
    <w:rsid w:val="00297F22"/>
    <w:rsid w:val="002A0BCA"/>
    <w:rsid w:val="002A10C2"/>
    <w:rsid w:val="002B1BB0"/>
    <w:rsid w:val="002B4EF6"/>
    <w:rsid w:val="002B576F"/>
    <w:rsid w:val="002B678C"/>
    <w:rsid w:val="002C19E2"/>
    <w:rsid w:val="002C3918"/>
    <w:rsid w:val="002D3C40"/>
    <w:rsid w:val="002F5A6F"/>
    <w:rsid w:val="003170BA"/>
    <w:rsid w:val="00317FCD"/>
    <w:rsid w:val="00342D21"/>
    <w:rsid w:val="0035058B"/>
    <w:rsid w:val="00360D86"/>
    <w:rsid w:val="00363319"/>
    <w:rsid w:val="00377B62"/>
    <w:rsid w:val="00382115"/>
    <w:rsid w:val="00394C33"/>
    <w:rsid w:val="00395011"/>
    <w:rsid w:val="003C4D02"/>
    <w:rsid w:val="003E5402"/>
    <w:rsid w:val="003F54F4"/>
    <w:rsid w:val="00406560"/>
    <w:rsid w:val="00407A66"/>
    <w:rsid w:val="00422BA1"/>
    <w:rsid w:val="004249EA"/>
    <w:rsid w:val="004254D4"/>
    <w:rsid w:val="0043251B"/>
    <w:rsid w:val="0043251D"/>
    <w:rsid w:val="00433D0F"/>
    <w:rsid w:val="00452D4A"/>
    <w:rsid w:val="00461565"/>
    <w:rsid w:val="00470192"/>
    <w:rsid w:val="004C1B4F"/>
    <w:rsid w:val="004D2BAD"/>
    <w:rsid w:val="0050399E"/>
    <w:rsid w:val="005050BF"/>
    <w:rsid w:val="005068CE"/>
    <w:rsid w:val="00575C9D"/>
    <w:rsid w:val="005A097F"/>
    <w:rsid w:val="005B02B1"/>
    <w:rsid w:val="00600502"/>
    <w:rsid w:val="00601BC9"/>
    <w:rsid w:val="00610C2D"/>
    <w:rsid w:val="00654955"/>
    <w:rsid w:val="00660EAB"/>
    <w:rsid w:val="00664706"/>
    <w:rsid w:val="0067072C"/>
    <w:rsid w:val="006842E4"/>
    <w:rsid w:val="0068639D"/>
    <w:rsid w:val="006A2EAE"/>
    <w:rsid w:val="006A329A"/>
    <w:rsid w:val="006A4F7D"/>
    <w:rsid w:val="006A74BE"/>
    <w:rsid w:val="006B15CD"/>
    <w:rsid w:val="006B25C2"/>
    <w:rsid w:val="006D1D1D"/>
    <w:rsid w:val="006D63CC"/>
    <w:rsid w:val="006F0F28"/>
    <w:rsid w:val="006F2536"/>
    <w:rsid w:val="00711113"/>
    <w:rsid w:val="0071502C"/>
    <w:rsid w:val="00715B99"/>
    <w:rsid w:val="0073255C"/>
    <w:rsid w:val="00732F9C"/>
    <w:rsid w:val="00765171"/>
    <w:rsid w:val="0077524A"/>
    <w:rsid w:val="00780908"/>
    <w:rsid w:val="00782072"/>
    <w:rsid w:val="007E4275"/>
    <w:rsid w:val="007E64C8"/>
    <w:rsid w:val="007F54FE"/>
    <w:rsid w:val="00805C88"/>
    <w:rsid w:val="008178C9"/>
    <w:rsid w:val="00825A1C"/>
    <w:rsid w:val="008279E7"/>
    <w:rsid w:val="0083460F"/>
    <w:rsid w:val="00844874"/>
    <w:rsid w:val="0086081F"/>
    <w:rsid w:val="00883663"/>
    <w:rsid w:val="008D7287"/>
    <w:rsid w:val="00906147"/>
    <w:rsid w:val="00906164"/>
    <w:rsid w:val="0090679E"/>
    <w:rsid w:val="00934402"/>
    <w:rsid w:val="00935F8A"/>
    <w:rsid w:val="00951B2A"/>
    <w:rsid w:val="00952CB6"/>
    <w:rsid w:val="00955520"/>
    <w:rsid w:val="00963139"/>
    <w:rsid w:val="009640C8"/>
    <w:rsid w:val="00976ED5"/>
    <w:rsid w:val="00980339"/>
    <w:rsid w:val="00987E34"/>
    <w:rsid w:val="0099249E"/>
    <w:rsid w:val="009F0883"/>
    <w:rsid w:val="009F3D5F"/>
    <w:rsid w:val="00A10109"/>
    <w:rsid w:val="00A221D2"/>
    <w:rsid w:val="00A30A56"/>
    <w:rsid w:val="00A33B36"/>
    <w:rsid w:val="00A51CE4"/>
    <w:rsid w:val="00A53604"/>
    <w:rsid w:val="00A5464F"/>
    <w:rsid w:val="00A564CE"/>
    <w:rsid w:val="00A605E6"/>
    <w:rsid w:val="00A82162"/>
    <w:rsid w:val="00A90086"/>
    <w:rsid w:val="00A93577"/>
    <w:rsid w:val="00AA06A2"/>
    <w:rsid w:val="00AA588A"/>
    <w:rsid w:val="00AC2C6E"/>
    <w:rsid w:val="00AD206E"/>
    <w:rsid w:val="00AD5587"/>
    <w:rsid w:val="00AF39E8"/>
    <w:rsid w:val="00B10E73"/>
    <w:rsid w:val="00B13764"/>
    <w:rsid w:val="00B17AC1"/>
    <w:rsid w:val="00B3085E"/>
    <w:rsid w:val="00B374F4"/>
    <w:rsid w:val="00B46257"/>
    <w:rsid w:val="00B51158"/>
    <w:rsid w:val="00B5703E"/>
    <w:rsid w:val="00B7517E"/>
    <w:rsid w:val="00B77936"/>
    <w:rsid w:val="00B9165F"/>
    <w:rsid w:val="00BA2A76"/>
    <w:rsid w:val="00BA684F"/>
    <w:rsid w:val="00BB096C"/>
    <w:rsid w:val="00BE69C2"/>
    <w:rsid w:val="00BF20AF"/>
    <w:rsid w:val="00C0530B"/>
    <w:rsid w:val="00C23FB6"/>
    <w:rsid w:val="00C5066D"/>
    <w:rsid w:val="00C60FFE"/>
    <w:rsid w:val="00C63693"/>
    <w:rsid w:val="00C75986"/>
    <w:rsid w:val="00C8069E"/>
    <w:rsid w:val="00C806E2"/>
    <w:rsid w:val="00C818EF"/>
    <w:rsid w:val="00C94E72"/>
    <w:rsid w:val="00CA295B"/>
    <w:rsid w:val="00CC486F"/>
    <w:rsid w:val="00D17C0C"/>
    <w:rsid w:val="00D30179"/>
    <w:rsid w:val="00D371E9"/>
    <w:rsid w:val="00D5515E"/>
    <w:rsid w:val="00D863FE"/>
    <w:rsid w:val="00D91E40"/>
    <w:rsid w:val="00D95885"/>
    <w:rsid w:val="00DA6361"/>
    <w:rsid w:val="00DB5938"/>
    <w:rsid w:val="00DC0FFB"/>
    <w:rsid w:val="00DC50A6"/>
    <w:rsid w:val="00DD2F49"/>
    <w:rsid w:val="00DE151D"/>
    <w:rsid w:val="00DF45DC"/>
    <w:rsid w:val="00E2048A"/>
    <w:rsid w:val="00E317A3"/>
    <w:rsid w:val="00E5472E"/>
    <w:rsid w:val="00E73521"/>
    <w:rsid w:val="00E74212"/>
    <w:rsid w:val="00E77B64"/>
    <w:rsid w:val="00E8725A"/>
    <w:rsid w:val="00EA0D53"/>
    <w:rsid w:val="00EB0F3C"/>
    <w:rsid w:val="00EB3B81"/>
    <w:rsid w:val="00EF68B9"/>
    <w:rsid w:val="00F30B3D"/>
    <w:rsid w:val="00F3222C"/>
    <w:rsid w:val="00F357BA"/>
    <w:rsid w:val="00F5402F"/>
    <w:rsid w:val="00F62927"/>
    <w:rsid w:val="00F63B78"/>
    <w:rsid w:val="00F73E45"/>
    <w:rsid w:val="00F95F6D"/>
    <w:rsid w:val="00FA0658"/>
    <w:rsid w:val="00FB47C7"/>
    <w:rsid w:val="00FB4928"/>
    <w:rsid w:val="00FB5E95"/>
    <w:rsid w:val="00FB7C35"/>
    <w:rsid w:val="00FC7276"/>
    <w:rsid w:val="00FF6A98"/>
    <w:rsid w:val="020315FB"/>
    <w:rsid w:val="036B2329"/>
    <w:rsid w:val="0A3F7FF4"/>
    <w:rsid w:val="0B5D39A1"/>
    <w:rsid w:val="0B975181"/>
    <w:rsid w:val="100078CD"/>
    <w:rsid w:val="1DEF61EA"/>
    <w:rsid w:val="28FE1DC0"/>
    <w:rsid w:val="32EA4A4A"/>
    <w:rsid w:val="362343BF"/>
    <w:rsid w:val="3F697990"/>
    <w:rsid w:val="4B281802"/>
    <w:rsid w:val="56D916F1"/>
    <w:rsid w:val="57B079E8"/>
    <w:rsid w:val="60D30FA5"/>
    <w:rsid w:val="60EE225B"/>
    <w:rsid w:val="61BB5796"/>
    <w:rsid w:val="6283324B"/>
    <w:rsid w:val="6CED2496"/>
    <w:rsid w:val="705727C7"/>
    <w:rsid w:val="72541E8D"/>
    <w:rsid w:val="758F1251"/>
    <w:rsid w:val="7A6613DC"/>
    <w:rsid w:val="7CCC4E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4DFD8A-9310-4B12-A071-0F6C3071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semiHidden/>
    <w:unhideWhenUsed/>
    <w:qFormat/>
    <w:rPr>
      <w:b/>
      <w:bCs/>
    </w:rPr>
  </w:style>
  <w:style w:type="character" w:styleId="ae">
    <w:name w:val="Hyperlink"/>
    <w:basedOn w:val="a0"/>
    <w:qFormat/>
    <w:rPr>
      <w:color w:val="0000FF"/>
      <w:u w:val="single"/>
    </w:rPr>
  </w:style>
  <w:style w:type="character" w:styleId="af">
    <w:name w:val="annotation reference"/>
    <w:basedOn w:val="a0"/>
    <w:semiHidden/>
    <w:unhideWhenUsed/>
    <w:qFormat/>
    <w:rPr>
      <w:sz w:val="21"/>
      <w:szCs w:val="21"/>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d">
    <w:name w:val="批注主题 字符"/>
    <w:basedOn w:val="a4"/>
    <w:link w:val="ac"/>
    <w:semiHidden/>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BDCBD-A370-4E18-9494-4E2F86BB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415</Words>
  <Characters>2368</Characters>
  <Application>Microsoft Office Word</Application>
  <DocSecurity>0</DocSecurity>
  <Lines>19</Lines>
  <Paragraphs>5</Paragraphs>
  <ScaleCrop>false</ScaleCrop>
  <Company>神州网信技术有限公司</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2023-05-25T02:33:00Z</cp:lastPrinted>
  <dcterms:created xsi:type="dcterms:W3CDTF">2023-05-31T01:49:00Z</dcterms:created>
  <dcterms:modified xsi:type="dcterms:W3CDTF">2023-05-31T01:49:00Z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59A17071D8024E669544BE5F7C6C12AE</vt:lpwstr>
  </property>
</Properties>
</file>